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10" w:type="dxa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10"/>
      </w:tblGrid>
      <w:tr w:rsidR="00BC288B" w:rsidRPr="00BC288B" w:rsidTr="00BC288B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C288B" w:rsidRPr="00C83D0E" w:rsidRDefault="00BC288B" w:rsidP="00BC288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Муниципальное бюджетное общеобразовательное учреждение «Средняя общеобразовательная школа №11 с углубленным изучением отдельных предметов» Нижнекамского муниципального района Республики Татарстан (МБОУ «СОШ №11» НМР РТ)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tbl>
            <w:tblPr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12"/>
              <w:gridCol w:w="5662"/>
            </w:tblGrid>
            <w:tr w:rsidR="00BC288B" w:rsidRPr="00C83D0E" w:rsidTr="00BC288B">
              <w:trPr>
                <w:jc w:val="center"/>
              </w:trPr>
              <w:tc>
                <w:tcPr>
                  <w:tcW w:w="811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СОГЛАСОВАНО 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Педагогическим советом МБОУ «СОШ №11» НМР РТ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протокол №   от 22 января 2019 г.</w:t>
                  </w:r>
                </w:p>
              </w:tc>
              <w:tc>
                <w:tcPr>
                  <w:tcW w:w="566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УТВЕРЖДАЮ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Директор МБОУ «СОШ №11» НМР РТ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____________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А.Ю.Огородова</w:t>
                  </w:r>
                  <w:proofErr w:type="spellEnd"/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Отчет о результатах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самообследования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>МБОУ «СОШ №11» НМР РТ за 2019 год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Аналитическая часть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Общие сведения об образовательной организации</w:t>
            </w:r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tbl>
            <w:tblPr>
              <w:tblW w:w="0" w:type="auto"/>
              <w:jc w:val="center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09"/>
              <w:gridCol w:w="12390"/>
            </w:tblGrid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Наименование образовательной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организации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муниципальное бюджетное общеобразовательное учреждение «Средняя общеобразовательная школа №11 с углубленным изучением отдельных предметов» Нижнекамского муниципального района Республики Татарстан (МБОУ «СОШ №11» НМР РТ)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Руководитель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Огородова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Алла Юрьевна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Адрес организации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423579, Республика Татарстан,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г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.Н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ижнекамск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,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ул.Гагарина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, д.1В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Телефон, факс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8(8555)42-29-68, 8(8555)43-97-90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Адрес электронной почты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School11nkamsk@mail.ru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Учредитель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Муниципальное образование «Нижнекамский муниципальный район» Республики Татарстан.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Функции и полномочия учредителя осуществляет муниципальное казенное учреждение «Исполнительный комитет Нижнекамского муниципального района» в лице Управления образования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Дата создания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1974 год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Лицензия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 29.06.2015 №6944, серия 16 Л 01  № 0003173, выдана МО и Н РТ бессрочно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Свидетельство о государственной 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аккредитации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От 07.12.2015 №3245, серия 16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А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01  № 0000417; выдана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МОи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Н РТ сроком до 29.04.2025г.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МБОУ «СОШ №11» НМР РТ  (далее – Школа) расположена в социальном районе города Нижнекамска. Большинство семей обучающихся проживают в домах типовой застройки: 81 процент – микрорайонов 8 и 9, закрепленных за школой; 19 процентов – учащиеся других микрорайонов.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Основным видом деятельности Школы является реализация общеобразовательных программ начального общего, основного общего и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>среднего общего образования. Также Школа реализует образовательные программы дополнительного образования детей и взрослых.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Система управления организацией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Управление осуществляется на принципах единоначалия и самоуправления.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Органы управления, действующие в Школе</w:t>
            </w:r>
          </w:p>
          <w:tbl>
            <w:tblPr>
              <w:tblW w:w="0" w:type="auto"/>
              <w:jc w:val="center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03"/>
              <w:gridCol w:w="12596"/>
            </w:tblGrid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Наименование органа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Функции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Директор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Контролирует работу и обеспечивает эффективное взаимодействие структурных подразделений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организации, утверждает штатное расписание, отчетные документы организации, осуществляет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общее руководство Школой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Общее собрание работников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 компетенции общего собрания относится: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заслушивание отчета председателя Совета Школы по итогам учебного года и подведение итогов работы Совета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рассмотрение и утверждение годового отчета Школы, представляемого Учредителю и общественности о поступлении и расходовании средств;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определение приоритетных направлений деятельности, утверждение плана развития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содействие в привлечении для обеспечения уставной деятельности Школы  дополнительных источников финансовых и материальных средств;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принятие отдельных локальных актов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принятие решения по режиму работы Школы (устанавливает время начала и окончания занятий и др.);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представление Школы, педагогических и руководящих работников для награждения и поощрения вышестоящими и иными органами;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внесение предложения Учредителю по улучшению деятельности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определение порядка и условий предоставления социальной поддержки учащимся и работникам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осуществление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контроля за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своевременным предоставлением соответствующим категориям учащихся дополнительных социальных льгот и видов материального обеспечения, предусмотренных законодательством, а также за счет средств, полученных от приносящей доход деятельности Школы, от спонсоров и благотворителей;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осуществление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контроля за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работой подразделений общественного питания и медицины Школы, в целях охраны и укрепления здоровья обучающихся и работников;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определение перечня и схем структурных подразделений  Школы, утверждение документов, регламентирующих их деятельность;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82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принятие решений по другим важнейшим вопросам деятельности Школы, не отнесенным к компетенции Учредителя, других органов и директора.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Совет школы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tabs>
                      <w:tab w:val="left" w:pos="249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 компетенции Совета относится: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определение основных направлений деятельности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заслушивание отчетов директора Школы о выполнении основной уставной деятельности;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содействие деятельности Педагогического совета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разработка правил внутреннего распорядка;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контроль за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своевременностью предоставления учащимся дополнительных льгот и видов материального обеспечения;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249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координация деятельности общественных организаций в Школе, не запрещенных законом.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Педагогический совет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tabs>
                      <w:tab w:val="left" w:pos="325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Педагогический совет: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рассматривает вопросы осуществления образовательного и воспитательного процессов, требующих профессиональных знаний;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обсуждает и производит выбор учебных и воспитательных планов, программ, методов, учебно-воспитательного процесса и способов их реализации, принимает годовой план работы и учебный план Школы;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вырабатывает общие подходы к созданию и реализации образовательной концепции, программы развития Школы, годового плана работы; 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компетентен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требовать от всех членов педагогического коллектива единства подходов и действий,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подводит итоги образовательной деятельности Школы, вносит предложения по улучшению ее результатов;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определяет периодичность, формы, сроки и порядок проведения промежуточной аттестации учащихся;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принимает решение о допуске обучающихся к итоговой аттестации, переводе обучающихся в следующий класс, условном переводе в следующий класс, выпуске из Школы, а также по согласованию с родителями (законными представителями) о повторном обучении в том же классе, переводе в классы компенсирующего обучения или продолжении обучения в иных формах;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участвует в индивидуальном отборе учащихся при приеме  классы профильного обучения;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принимает решение на основании результатов промежуточной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аттестации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 награждении обучающихся за успехи в учебе грамотами, похвальными листами и другими наградами;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принимает решение о допуске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обучающихся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к государственной (итоговой) аттестации;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принимает решение о выдаче справки выпускникам, не прошедшим государственную (итоговую) аттестацию;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принимает решение на основании результатов государственной (итоговой) аттестации о выпуске обучающихся из 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Школы, о награждении за успехи в учебе грамотами, похвальными листами, медалями;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обсуждает в случае необходимости вопросы поведения и успеваемости отдельных обучающихся в присутствии родителей (законных представителей);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принимает решение об исключении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обучающегося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из Школы в случаях, предусмотренных законом;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заслушивает сообщения администрации Школы по вопросам учебно-воспитательного характера;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обсуждает и принимает локальные акты в пределах своей компетенции;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осуществляет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контроль за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выполнением решений предыдущих педагогических советов;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организует работу по повышению квалификации педагогических работников, развитию их творческих инициатив, распространению передового педагогического опыта;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вносит предложения о присвоении воспитателям квалификационных категорий;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представляет педагогических работников и других работников Школы к награждениям, различным видам поощрения, морального и материального стимулирования труда;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обсуждает и утверждает характеристики педагогических работников, представляемых к различным почетным званиям;</w:t>
                  </w:r>
                </w:p>
                <w:p w:rsidR="00BC288B" w:rsidRPr="00C83D0E" w:rsidRDefault="00BC288B" w:rsidP="00BC288B">
                  <w:pPr>
                    <w:numPr>
                      <w:ilvl w:val="0"/>
                      <w:numId w:val="2"/>
                    </w:numPr>
                    <w:tabs>
                      <w:tab w:val="left" w:pos="325"/>
                      <w:tab w:val="left" w:pos="993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делегирует представителей педагогического коллектива в Совет Школы.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Для осуществления учебно-методической работы в Школе создано шесть предметных методических объединения: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-русского языка и литературы, истории и обществознания;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иностранного языка;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родного языка и литературы;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математики, информатики и физики, биологии, химии, географии;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начальных классов,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 xml:space="preserve">            - классных руководителей.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  </w:t>
            </w: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Оценка образовательной деятельности</w:t>
            </w:r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Образовательная деятельность в Школе организуется в соответствии с </w:t>
            </w:r>
            <w:hyperlink r:id="rId7" w:anchor="/document/99/902389617/http: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Федеральным законом от 29.12.2012 № 273-ФЗ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«Об образовании в Российской Федерации», ФГОС начального общего, основного общего и среднего общего образования, </w:t>
            </w:r>
            <w:hyperlink r:id="rId8" w:anchor="/document/99/902256369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СанПиН 2.4.2.2821-10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«Санитарн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о-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 xml:space="preserve">эпидемиологические требования к условиям и организации обучения в общеобразовательных учреждениях», основными образовательными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 xml:space="preserve">программами по уровням, включая учебные планы, годовые календарные графики, расписанием занятий. 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</w:t>
            </w:r>
            <w:hyperlink r:id="rId9" w:anchor="/document/99/902180656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ФГОС НОО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), 5–9 классов – на 5-летний нормативный срок освоения основной образовательной программы основного  общего образования (реализация </w:t>
            </w:r>
            <w:hyperlink r:id="rId10" w:anchor="/document/99/902254916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ФГОС ООО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>), 10–11 классов – на 2-летний нормативный срок освоения образовательной программы среднего общего образования (</w:t>
            </w:r>
            <w:hyperlink r:id="rId11" w:anchor="/document/99/902350579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ФГОС СОО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>).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Воспитательная работа.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Главная цель воспитательной работы на 2018-2019 учебный год  – формирование креативной личности, способной реализовать себя  в современной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инфраструктуре и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здоровьесберегающей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среде.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Задачи на 2018-2019 учебный год:</w:t>
            </w:r>
          </w:p>
          <w:p w:rsidR="00130FE9" w:rsidRPr="00C83D0E" w:rsidRDefault="00130FE9" w:rsidP="00C83D0E">
            <w:pPr>
              <w:pStyle w:val="a3"/>
              <w:shd w:val="clear" w:color="auto" w:fill="FFFFFF"/>
              <w:spacing w:before="0" w:beforeAutospacing="0" w:line="240" w:lineRule="atLeast"/>
              <w:ind w:firstLine="709"/>
              <w:rPr>
                <w:rFonts w:cstheme="minorBidi"/>
                <w:sz w:val="22"/>
                <w:szCs w:val="22"/>
              </w:rPr>
            </w:pPr>
            <w:r w:rsidRPr="00C83D0E">
              <w:rPr>
                <w:rFonts w:cstheme="minorBidi"/>
                <w:sz w:val="22"/>
                <w:szCs w:val="22"/>
              </w:rPr>
              <w:t>1.Создание и поддержание условий для формирования личностных структур, обеспечивающих высокий уровень развития личностного потенциала и его реализации в будущем.</w:t>
            </w:r>
            <w:r w:rsidR="00C83D0E">
              <w:rPr>
                <w:rFonts w:cstheme="minorBidi"/>
                <w:sz w:val="22"/>
                <w:szCs w:val="22"/>
              </w:rPr>
              <w:br/>
            </w:r>
            <w:r w:rsidRPr="00C83D0E">
              <w:rPr>
                <w:rFonts w:cstheme="minorBidi"/>
                <w:sz w:val="22"/>
                <w:szCs w:val="22"/>
              </w:rPr>
              <w:t>2.       </w:t>
            </w:r>
            <w:r w:rsidRPr="00C83D0E">
              <w:rPr>
                <w:rFonts w:cstheme="minorBidi"/>
              </w:rPr>
              <w:t> </w:t>
            </w:r>
            <w:r w:rsidRPr="00C83D0E">
              <w:rPr>
                <w:rFonts w:cstheme="minorBidi"/>
                <w:sz w:val="22"/>
                <w:szCs w:val="22"/>
              </w:rPr>
              <w:t>Развитие самоуправления учащихся, предоставление им реальных возможностей в деятельности творческих и общественных идей.</w:t>
            </w:r>
            <w:r w:rsidR="00C83D0E">
              <w:rPr>
                <w:rFonts w:cstheme="minorBidi"/>
                <w:sz w:val="22"/>
                <w:szCs w:val="22"/>
              </w:rPr>
              <w:br/>
            </w:r>
            <w:r w:rsidRPr="00C83D0E">
              <w:rPr>
                <w:rFonts w:cstheme="minorBidi"/>
                <w:sz w:val="22"/>
                <w:szCs w:val="22"/>
              </w:rPr>
              <w:t>3.       </w:t>
            </w:r>
            <w:r w:rsidRPr="00C83D0E">
              <w:rPr>
                <w:rFonts w:cstheme="minorBidi"/>
              </w:rPr>
              <w:t> </w:t>
            </w:r>
            <w:r w:rsidRPr="00C83D0E">
              <w:rPr>
                <w:rFonts w:cstheme="minorBidi"/>
                <w:sz w:val="22"/>
                <w:szCs w:val="22"/>
              </w:rPr>
              <w:t>Укрепление здоровья ребёнка средствами физической культуры и</w:t>
            </w:r>
            <w:r w:rsidRPr="00C83D0E">
              <w:rPr>
                <w:rFonts w:cstheme="minorBidi"/>
              </w:rPr>
              <w:t> </w:t>
            </w:r>
            <w:hyperlink r:id="rId12" w:tgtFrame="_blank" w:history="1">
              <w:r w:rsidRPr="00C83D0E">
                <w:rPr>
                  <w:rFonts w:cstheme="minorBidi"/>
                </w:rPr>
                <w:t>спорта</w:t>
              </w:r>
            </w:hyperlink>
            <w:r w:rsidRPr="00C83D0E">
              <w:rPr>
                <w:rFonts w:cstheme="minorBidi"/>
                <w:sz w:val="22"/>
                <w:szCs w:val="22"/>
              </w:rPr>
              <w:t>.</w:t>
            </w:r>
            <w:r w:rsidR="00C83D0E">
              <w:rPr>
                <w:rFonts w:cstheme="minorBidi"/>
                <w:sz w:val="22"/>
                <w:szCs w:val="22"/>
              </w:rPr>
              <w:br/>
            </w:r>
            <w:r w:rsidRPr="00C83D0E">
              <w:rPr>
                <w:rFonts w:cstheme="minorBidi"/>
                <w:sz w:val="22"/>
                <w:szCs w:val="22"/>
              </w:rPr>
              <w:t>4.       </w:t>
            </w:r>
            <w:r w:rsidRPr="00C83D0E">
              <w:rPr>
                <w:rFonts w:cstheme="minorBidi"/>
              </w:rPr>
              <w:t> </w:t>
            </w:r>
            <w:r w:rsidRPr="00C83D0E">
              <w:rPr>
                <w:rFonts w:cstheme="minorBidi"/>
                <w:sz w:val="22"/>
                <w:szCs w:val="22"/>
              </w:rPr>
              <w:t>Вовлечение учащегося в систему дополнительного образования с целью обеспечения самореализации личности.</w:t>
            </w:r>
            <w:r w:rsidR="00C83D0E">
              <w:rPr>
                <w:rFonts w:cstheme="minorBidi"/>
                <w:sz w:val="22"/>
                <w:szCs w:val="22"/>
              </w:rPr>
              <w:br/>
            </w:r>
            <w:r w:rsidRPr="00C83D0E">
              <w:rPr>
                <w:rFonts w:cstheme="minorBidi"/>
                <w:sz w:val="22"/>
                <w:szCs w:val="22"/>
              </w:rPr>
              <w:t>5.       </w:t>
            </w:r>
            <w:r w:rsidRPr="00C83D0E">
              <w:rPr>
                <w:rFonts w:cstheme="minorBidi"/>
              </w:rPr>
              <w:t> </w:t>
            </w:r>
            <w:r w:rsidRPr="00C83D0E">
              <w:rPr>
                <w:rFonts w:cstheme="minorBidi"/>
                <w:sz w:val="22"/>
                <w:szCs w:val="22"/>
              </w:rPr>
              <w:t>Воспитание учащегося в духе демократии, свободы, личностного достоинства, уважения прав человека, гражданственности, патриотизма.</w:t>
            </w:r>
            <w:r w:rsidR="00C83D0E">
              <w:rPr>
                <w:rFonts w:cstheme="minorBidi"/>
                <w:sz w:val="22"/>
                <w:szCs w:val="22"/>
              </w:rPr>
              <w:br/>
            </w:r>
            <w:r w:rsidRPr="00C83D0E">
              <w:rPr>
                <w:rFonts w:cstheme="minorBidi"/>
                <w:sz w:val="22"/>
                <w:szCs w:val="22"/>
              </w:rPr>
              <w:t>6.       </w:t>
            </w:r>
            <w:r w:rsidRPr="00C83D0E">
              <w:rPr>
                <w:rFonts w:cstheme="minorBidi"/>
              </w:rPr>
              <w:t> </w:t>
            </w:r>
            <w:r w:rsidRPr="00C83D0E">
              <w:rPr>
                <w:rFonts w:cstheme="minorBidi"/>
                <w:sz w:val="22"/>
                <w:szCs w:val="22"/>
              </w:rPr>
              <w:t>Создание условий для участия семей в воспитательном процессе, привлечение родителей к участию в самоуправлении школой.</w:t>
            </w:r>
          </w:p>
          <w:p w:rsidR="00130FE9" w:rsidRPr="00C83D0E" w:rsidRDefault="00130FE9" w:rsidP="00C83D0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Для реализации поставленных задач были определены приоритетные направления, через которые и осуществляется воспитательная работа: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6"/>
              </w:num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Гражданско-патриотическое воспитание;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6"/>
              </w:num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Нравственно – эстетическое воспитание;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6"/>
              </w:num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Интеллектуально-познавательная деятельность;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6"/>
              </w:num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Физкультурно-оздоровительное воспитание;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6"/>
              </w:num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Самоуправление.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567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1.Гражданско – патриотическое воспитание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Целью данного направления Воспитательной работы является формирование гражданско – патриотического сознания,  развитие чувства сопричастности к судьбе Отечества, сохранение и развитие чувства гордости за свою страну. 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567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Для реализации цели были поставлены следующие задачи:</w:t>
            </w:r>
          </w:p>
          <w:p w:rsidR="00130FE9" w:rsidRDefault="00130FE9" w:rsidP="00130F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1.Изучение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обучающимися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истории Отечества, истории вооруженных сил, истории ВОВ.</w:t>
            </w:r>
          </w:p>
          <w:p w:rsidR="00130FE9" w:rsidRDefault="00130FE9" w:rsidP="00130F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2.Повышение морально-психологических  качеств и совершенствование  физической подготовки учащихся.</w:t>
            </w:r>
          </w:p>
          <w:p w:rsidR="00130FE9" w:rsidRDefault="00130FE9" w:rsidP="00130F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3.Пропаганда боевых и трудовых традиций российского народа, его  армии, раскрытие героизма и самоотверженности на благо  страны.</w:t>
            </w:r>
          </w:p>
          <w:p w:rsidR="00130FE9" w:rsidRDefault="00130FE9" w:rsidP="00130F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4. Воспитание у  обучающихся  гордости за подвиги старшего поколения и  стремления подражать им, уважение ветеранов ВОВ.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Работа по гражданско-патриотическому воспитанию проводилась согласно утверждённому плану. </w:t>
            </w:r>
          </w:p>
          <w:p w:rsidR="00130FE9" w:rsidRPr="00C83D0E" w:rsidRDefault="00130FE9" w:rsidP="00130FE9">
            <w:pPr>
              <w:pStyle w:val="a7"/>
              <w:ind w:left="0"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целях патриотического воспитания, привития чувства гордости за свою страну, свой народ, традиционно во всех классах прошли уроки тематические классные часы: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Всемирный день мира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(сентябрь);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солидарности в борьбе с терроризмом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(сентябрь);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гражданской обороны (октябрь);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Международный день толерантности (ноябрь);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матери в России (ноябрь);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Международный день инвалидов (декабрь);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неизвестного солдата (декабрь);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Героев Отечества (декабрь);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Международный день памяти жертв Холокоста (январь);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полного освобождения Ленинграда от Фашистской блокады (январь);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lastRenderedPageBreak/>
              <w:t>День памяти о россиянах, исполнявших служебный долг за пределами Отечества (февраль);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воссоединения Крыма с Россией (март);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bCs/>
                <w:lang w:eastAsia="ru-RU"/>
              </w:rPr>
              <w:t>День космонавтики (апрель);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4"/>
              </w:numPr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День Победы советского народа в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ВО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в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>(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>май).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2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течение года велась работа по реализации проекта «Улицы моего города».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2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1 октября традиционно проведен День пожилого человека, где также были организованы встречи с ветеранами ВОВ.</w:t>
            </w:r>
          </w:p>
          <w:p w:rsidR="00130FE9" w:rsidRDefault="00130FE9" w:rsidP="00130FE9">
            <w:pPr>
              <w:pBdr>
                <w:bottom w:val="single" w:sz="6" w:space="4" w:color="D7E1EB"/>
              </w:pBdr>
              <w:shd w:val="clear" w:color="auto" w:fill="FFFFFF"/>
              <w:spacing w:after="0" w:line="240" w:lineRule="auto"/>
              <w:ind w:firstLine="709"/>
              <w:jc w:val="both"/>
              <w:outlineLvl w:val="2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Месячник гражданско-патриотического воспитания, проводимый ежегодно, призван формировать эмоционально-волевые качества гражданина – патриота России, повышать уровень физической подготовки подростков и юношей, воспитывать стремление к сохранению и преумножению военного, исторического и культурного наследия.  Каждый год увеличивается количество участников месячника, повышается уровень организации и проведения мероприятий, направленных  на воспитание у молодых граждан нравственных принципов, гражданской ответственности. </w:t>
            </w:r>
          </w:p>
          <w:p w:rsidR="00130FE9" w:rsidRDefault="00130FE9" w:rsidP="00130FE9">
            <w:pPr>
              <w:pBdr>
                <w:bottom w:val="single" w:sz="6" w:space="4" w:color="D7E1EB"/>
              </w:pBdr>
              <w:shd w:val="clear" w:color="auto" w:fill="FFFFFF"/>
              <w:spacing w:after="0" w:line="240" w:lineRule="auto"/>
              <w:ind w:firstLine="709"/>
              <w:jc w:val="both"/>
              <w:outlineLvl w:val="2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Месячник проводился насыщенно, разнообразно.   Он включал в себя спортивные соревнования, концертную программу, конкурс рисунков и плакатов, встречи с ветеранами войны, экскурсию в музей уроки мужества и т.д. </w:t>
            </w:r>
          </w:p>
          <w:p w:rsidR="00130FE9" w:rsidRPr="00C83D0E" w:rsidRDefault="00130FE9" w:rsidP="00130FE9">
            <w:pPr>
              <w:pBdr>
                <w:bottom w:val="single" w:sz="6" w:space="0" w:color="D7E1EB"/>
              </w:pBdr>
              <w:shd w:val="clear" w:color="auto" w:fill="FFFFFF"/>
              <w:spacing w:after="0" w:line="240" w:lineRule="auto"/>
              <w:ind w:firstLine="709"/>
              <w:jc w:val="both"/>
              <w:outlineLvl w:val="2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По итогам месячника был составлен рейтинг участия классов в мероприятиях, одними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из</w:t>
            </w:r>
            <w:proofErr w:type="gramEnd"/>
            <w:r>
              <w:rPr>
                <w:rFonts w:ascii="Times New Roman" w:eastAsia="Times New Roman" w:hAnsi="Times New Roman"/>
                <w:lang w:eastAsia="ru-RU"/>
              </w:rPr>
              <w:t xml:space="preserve"> активных считать следующие классы: 1б, 2б, 2в, 3в, 7в, 9б. </w:t>
            </w:r>
          </w:p>
          <w:p w:rsidR="00130FE9" w:rsidRDefault="00130FE9" w:rsidP="00130FE9">
            <w:pPr>
              <w:shd w:val="clear" w:color="auto" w:fill="FFFFFF"/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Анализируя результаты воспитательной работы в течение года можно сказать, что работа по патриотическому воспитанию проводилась на  хорошем уровне.  Мероприятиями были охвачены все воспитанники школы.</w:t>
            </w:r>
          </w:p>
          <w:p w:rsidR="00130FE9" w:rsidRDefault="00130FE9" w:rsidP="00130F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Тем не менее, классным руководителям необходимо в будущем активизировать следующие направления:</w:t>
            </w:r>
          </w:p>
          <w:p w:rsidR="00130FE9" w:rsidRDefault="00130FE9" w:rsidP="00130FE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- отражать работу по патриотическому воспитанию в классных уголках  (сведения о закрепленном ветеране ВОВ с фотографией и биографическими данными, фотоматериалы о работе с ним).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left="127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2.Нравственно-эстетическое воспитание.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Нравственно-эстетическое воспитание является одним из основных направлений воспитательной работы школы.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Цель: помочь учащимся осознать нравственные нормы и правила поведения.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Задачи: формирование нравственного отношения к окружающим людям, формирование нравственной системы ценностей.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Работа по нравственно–эстетическому воспитанию проводится согласно утвержденному плану.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Проводятся классные часы, направленные на формирование устойчивой нравственной позиции учащихся, встречи с ветеранами ВОВ, тематические мероприятия патриотической и нравственной направленности, мероприятия, посвященные Великой Победе в ВОВ, поздравление с Днем Учителя ветеранов педагогического труда, пожилых людей с Днем пожилого человека, проведение тематических часов. </w:t>
            </w:r>
            <w:proofErr w:type="gramEnd"/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Библиотекарем школы оформляются выставки книг, проводятся библиотечные часы по плану ВР. Традиционно в рамках акций проводятся творческие конкурсы: конкурс рисунков, фотографий, презентаций, песен, стихов. В конкурсах рисунков регулярно принимают участие учащиеся начальной школы. Можно отметить, что учащиеся 5-11 классов стали активнее принимать участие в мероприятиях.  Ежегодно, в октябре и апреле объявляется акция «Осенняя неделя добра» по сбору макулатуры и канцелярских товаров.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Ежегодно учащиеся принимают участие в творческих конкурсах, что  позволяет судить о хорошем уровне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сформированности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нравственных и духовных качеств учащихся.</w:t>
            </w:r>
          </w:p>
          <w:p w:rsidR="00130FE9" w:rsidRPr="00C83D0E" w:rsidRDefault="00130FE9" w:rsidP="00130FE9">
            <w:pPr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Итоги участия в конкурсах на 2018-2019учебный год</w:t>
            </w: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2107"/>
              <w:gridCol w:w="4905"/>
              <w:gridCol w:w="4905"/>
            </w:tblGrid>
            <w:tr w:rsidR="00C83D0E" w:rsidRPr="00C83D0E" w:rsidTr="00C83D0E">
              <w:tc>
                <w:tcPr>
                  <w:tcW w:w="2107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 xml:space="preserve">№ </w:t>
                  </w:r>
                  <w:proofErr w:type="gramStart"/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п</w:t>
                  </w:r>
                  <w:proofErr w:type="gramEnd"/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/п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 xml:space="preserve">Уровень конкурса 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Количество призеров и победителей</w:t>
                  </w:r>
                </w:p>
              </w:tc>
            </w:tr>
            <w:tr w:rsidR="00C83D0E" w:rsidRPr="00C83D0E" w:rsidTr="00C83D0E">
              <w:tc>
                <w:tcPr>
                  <w:tcW w:w="2107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всероссийский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8</w:t>
                  </w:r>
                </w:p>
              </w:tc>
            </w:tr>
            <w:tr w:rsidR="00C83D0E" w:rsidRPr="00C83D0E" w:rsidTr="00C83D0E">
              <w:tc>
                <w:tcPr>
                  <w:tcW w:w="2107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республиканский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23</w:t>
                  </w:r>
                </w:p>
              </w:tc>
            </w:tr>
            <w:tr w:rsidR="00C83D0E" w:rsidRPr="00C83D0E" w:rsidTr="00C83D0E">
              <w:tc>
                <w:tcPr>
                  <w:tcW w:w="2107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lastRenderedPageBreak/>
                    <w:t>3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региональный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16</w:t>
                  </w:r>
                </w:p>
              </w:tc>
            </w:tr>
            <w:tr w:rsidR="00C83D0E" w:rsidRPr="00C83D0E" w:rsidTr="00C83D0E">
              <w:tc>
                <w:tcPr>
                  <w:tcW w:w="2107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муниципальный</w:t>
                  </w:r>
                </w:p>
              </w:tc>
              <w:tc>
                <w:tcPr>
                  <w:tcW w:w="4905" w:type="dxa"/>
                </w:tcPr>
                <w:p w:rsidR="00C83D0E" w:rsidRPr="00C83D0E" w:rsidRDefault="00C83D0E" w:rsidP="00130FE9">
                  <w:pPr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</w:pPr>
                  <w:r w:rsidRPr="00C83D0E">
                    <w:rPr>
                      <w:rFonts w:ascii="Times New Roman" w:eastAsia="Times New Roman" w:hAnsi="Times New Roman" w:cstheme="minorBidi"/>
                      <w:sz w:val="22"/>
                      <w:szCs w:val="22"/>
                    </w:rPr>
                    <w:t>95</w:t>
                  </w:r>
                </w:p>
              </w:tc>
            </w:tr>
          </w:tbl>
          <w:p w:rsidR="00130FE9" w:rsidRPr="00C83D0E" w:rsidRDefault="00130FE9" w:rsidP="00130FE9">
            <w:pPr>
              <w:spacing w:after="0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ab/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Вывод: Среди подростков произошли изменения по отношению друг к другу и к людям. Дети стали доброжелательнее, научились лучше вести себя в общественных местах, бережно относиться к собственности, к школьному имуществу. Такие результаты говорят о достаточном воспитательном воздействии классных руководителей и школьного коллектива.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noProof/>
                <w:lang w:eastAsia="ru-RU"/>
              </w:rPr>
              <w:drawing>
                <wp:inline distT="0" distB="0" distL="0" distR="0" wp14:anchorId="79AE2585" wp14:editId="28E24BBD">
                  <wp:extent cx="4872355" cy="2197100"/>
                  <wp:effectExtent l="0" t="0" r="0" b="0"/>
                  <wp:docPr id="6" name="Диаграмма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Результаты:</w:t>
            </w:r>
          </w:p>
          <w:p w:rsidR="00130FE9" w:rsidRPr="00C83D0E" w:rsidRDefault="00130FE9" w:rsidP="00130FE9">
            <w:pPr>
              <w:spacing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 2018-2019 учебном году, по сравнению с 2017-2018 учебным годом, незначительно повысилось участие в конкурсах. Но результаты многих конкурсов еще не известны.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Возможные пути преодоления недостатков: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Классным руководителям совершенствовать методы стимулирования успешности в преодолении трудностей учащимися; уделять больше внимания в общеобразовательных классах различным интеллектуальным турнирам, занимательным предметным материалам, которые помогли бы заинтересовать учащихся.</w:t>
            </w:r>
          </w:p>
          <w:p w:rsidR="00130FE9" w:rsidRPr="00C83D0E" w:rsidRDefault="00130FE9" w:rsidP="00130F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          Администрации своевременно направлять, отслеживать, стимулировать работу классных руководителей по использованию различных методов диагностики уровня воспитанности учащихся, коррекции в связи с полученными результатами  своей воспитательной деятельности в этом направлении.</w:t>
            </w:r>
          </w:p>
          <w:p w:rsidR="00130FE9" w:rsidRPr="00C83D0E" w:rsidRDefault="00130FE9" w:rsidP="00130F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127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3.Физкультурно-оздоровительное направление.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Физкультурно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–о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здоровительное направление деятельности школы осуществляется  в ходе реализации программы «Здоровье», целью которой является  создание наиболее благоприятных условий для сохранения и укрепления здоровья учащихся, формирования у школьников отношения к здоровому образу жизни как к одному из главных путей в достижении успеха.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соответствии с программой были определены основные направления работы: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профилактика и оздоровлени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е-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физкультурная разминка до начала (7:45) уроков, которое проводит ШСС и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>оздоровительная работа;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-образовательный процесс–использование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здоровьесберегающих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>, образовательных технологий, рациональное расписание;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-информационно-консультативная работа – лекции школьной медсестры, встречи с узкими специалистами, классные часы, родительские собрания, внеклассные мероприятия, направленные на пропаганду здорового образа жизни: спортивные соревнования, работа спортивных секций.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течени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и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нескольких лет в школе работают спортивные кружки и секции «Волейбол», «Баскетбол», «Шахматы», «Шашки», «Кикбоксинг», «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Курай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», «Бокс», «Юный стрелок», «Японский волейбол». Школьники принимают участия во всех районных соревнованиях. Охват спортивными кружками и секциями составляет 21% учащихся.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noProof/>
                <w:lang w:eastAsia="ru-RU"/>
              </w:rPr>
              <w:drawing>
                <wp:inline distT="0" distB="0" distL="0" distR="0" wp14:anchorId="0C2A4E4A" wp14:editId="4E0A2F58">
                  <wp:extent cx="5145405" cy="2538730"/>
                  <wp:effectExtent l="0" t="0" r="0" b="0"/>
                  <wp:docPr id="5" name="Диаграмма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Учителями систематически проводятся спортивные  соревнования: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легкоатлетический кросс (совет отцов),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кросс Нации,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плавание (совет отцов),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лыжные гонки (совет отцов),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«Папа, мама, я – спортивная семья»,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Стрельба из пневматической винтовки (совет отцов), (школьный),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лыжня России;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легкоатлетическая эстафета,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арм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>-спорт, (совет отцов),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волейбол среди девушек и среди юношей, 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День здоровья,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ГТО-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батл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Флеш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>-моб,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Республиканский фестиваль сдачи норм ГТО и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т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.д</w:t>
            </w:r>
            <w:proofErr w:type="spellEnd"/>
            <w:proofErr w:type="gramEnd"/>
          </w:p>
          <w:p w:rsidR="00130FE9" w:rsidRPr="00C83D0E" w:rsidRDefault="00130FE9" w:rsidP="00130FE9">
            <w:pPr>
              <w:pStyle w:val="a7"/>
              <w:spacing w:after="0" w:line="240" w:lineRule="auto"/>
              <w:ind w:left="149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Но, не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смотря на это идет спад занятости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детей спортом.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Фельдшером школы организовываются и проводятся профилактические беседы (Профилактика гриппа и ОРЗ, Авитаминоз; просмотр ролика «Почему Я?», «Дневник Насти»</w:t>
            </w:r>
            <w:r w:rsidR="006D34D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>(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спид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>), «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Антитабак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», презентация «Клещевой энцефалит», «Мы выбираем жизнь», Личная гигиена, Профилактика алкоголизма и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табакокурения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>). Заместителем директора по ВР были организованы встречи со специалистами  «Молодежной клиники» тема «Половое созревание», «ВИЧ.  СПИД. Пути передачи, меры профилактики», для учащи</w:t>
            </w:r>
            <w:r w:rsidR="006D34DB">
              <w:rPr>
                <w:rFonts w:ascii="Times New Roman" w:eastAsia="Times New Roman" w:hAnsi="Times New Roman"/>
                <w:lang w:eastAsia="ru-RU"/>
              </w:rPr>
              <w:t>х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ся 8- 11 классов и состоящих на учете  был проведен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наркоосмотр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и т.д.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Планы классных руководителей предусматривают реализацию целенаправленных мероприятий по укреплению и сохранению здоровья учащихся, пропаганде здорового образа жизни в разделе «Здоровье».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Каждым классным руководителем разработан и реализован комплекс мер по охране и укреплению здоровья детей, включающих в себя организацию и проведение каникулярного отдыха детей, инструктажей по правилам техники безопасности, мероприятия по профилактике частых заболеваний учащихся, детского травматизма  на дорогах, наркомании, токсикомании,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табакокурения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, встреча с родителями и детьми с представителями правоохранительных органов, медработниками,  экскурсий и походов, участие коллектива класса  в спортивных,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внутришкольных</w:t>
            </w:r>
            <w:proofErr w:type="spellEnd"/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мероприятиях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рамках тематической недели учителями физической культуры проводятся: акции «Спорт против наркотиков», «День здоровья», эстафеты, массовое мероприятие «Олимпийские игры», веселые старты.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Результат: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Реализация программы «Здоровье» систематизирует работу педагогического коллектива  в данном направлении;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Стабильные результаты спортивных достижений.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Учащиеся школы принимают активное участие во всех районных мероприятиях данного направления.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Проблемное поле: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Недостаточное материально – техническое обеспечение для полноценного развития спортивно – массового воспитания (спортивная площадка).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По сравнению с прошлым годом низкий охват учащихся спортивными секциями, т.к. основная масса детей занята внеурочной  и учебной деятельностью.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Возможные пути решения проблем: 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Охват 100% занятостью спортом учащихся школы.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Систематический контроль выполнения программы «Здоровье» всеми членами педагогического и ученического коллективов со стороны администрации.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Учителям физической культуры заинтересовать детей занятию спортом.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106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pStyle w:val="a7"/>
              <w:spacing w:after="0" w:line="240" w:lineRule="auto"/>
              <w:ind w:left="1778" w:hanging="502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4. Профилактика правонарушений. 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Согласно плану воспитательной работы, в целях предупреждения и профилактики правонарушений и употребления ПАВ среди детей и подростков на протяжении всего учебного года в школе ведется работа по выявлению несовершеннолетних, находящихся в социальн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о-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опасном положении, а также учащихся, не посещающих или систематически пропускающих по неуважительной причине занятия: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1"/>
              </w:numPr>
              <w:spacing w:after="0" w:line="240" w:lineRule="auto"/>
              <w:ind w:left="709" w:hanging="28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составляются списки;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1"/>
              </w:numPr>
              <w:spacing w:after="0" w:line="240" w:lineRule="auto"/>
              <w:ind w:left="709" w:hanging="28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ведется работа по устранению причин, условий и обстоятельств, способствующих совершению правонарушений несовершеннолетними;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1"/>
              </w:numPr>
              <w:spacing w:after="0" w:line="240" w:lineRule="auto"/>
              <w:ind w:left="709" w:hanging="28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ставятся такие дети на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внутришкольный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контроль;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1"/>
              </w:numPr>
              <w:spacing w:after="0" w:line="240" w:lineRule="auto"/>
              <w:ind w:left="709" w:hanging="283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обследование жилищно-бытовых условий учащихся, находящихся в социальн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о-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опасном положении 1 раз в месяц, составляются акты.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Разработаны планы по профилактике правонарушений, включающие мероприятия по правовому воспитанию, профилактике вредных привычек, пропаганде здорового образа жизни. 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 школе осуществляется контроль получения образования несовершеннолетними, ведется строгий учет пропущенных уроков. Работа по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ликвидации пропусков без уважительной причины, деятельность школы по выявлению не обучающихся детей, правовое просвещение подростков и их родителей -  основные формы деятельности школы в этом направлении. В течение года школа вела тесную работу и инспекторами ГИБДД и муниципальным служащим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Альмикеевой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И.Ф. Проводились индивидуальн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о-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профилактические беседы, лекции, линейки, посещения семей на дому, родительские собрания. Особое внимание уделяется работе с детьми «группы риска». На начало года на комиссии ПДН - 1, ВШУ – 10, СОП -2 учеников стояло, на конец года ПДН - 5, ВШУ – 33, СОП - 0. Классными руководителями проводится работа с учащимися и их родителями - классные часы, беседы по профилактике правонарушений. 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noProof/>
                <w:lang w:eastAsia="ru-RU"/>
              </w:rPr>
              <w:drawing>
                <wp:inline distT="0" distB="0" distL="0" distR="0" wp14:anchorId="5F996BD9" wp14:editId="1BCB4A43">
                  <wp:extent cx="4653915" cy="1555750"/>
                  <wp:effectExtent l="0" t="0" r="0" b="0"/>
                  <wp:docPr id="4" name="Диаграмма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  <w:p w:rsidR="00130FE9" w:rsidRPr="00C83D0E" w:rsidRDefault="00130FE9" w:rsidP="00130FE9">
            <w:pPr>
              <w:spacing w:after="0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Вывод: По диаграмме видим подъем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состоящих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на учете в ПДН, снижение, сняли у учета базы СОП; подъем в ВШУ. Причиной постановки учащихся на учет в ПДН являются кражи и алкогольное отравление, но, несмотря на это администрацией школы и педагогическим коллективом проводятся постоянные профилактические работы с учащимися школы.  Зам. директора по ВР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Назмутдиновой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Г.Ф., соц. педагогом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Шафигуллиной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М.А. отслеживается занятость учащихся, состоящих на  учете в ПДН, СОП и ВШУ, в свободное время, в период каникул, привлечением их к занятиям в коллективах дополнительного образования, спортивных секциях. За всеми учащимися, состоящих на учете, закреплены наставники из числа администрации школы, классных руководителей. Летом эти дети находились под контролем классных руководителей, учителей-наставников, заместителей директоров, социального педагога.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На летний период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учащиеся,  состоящие на учете и трудные организованы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в пришкольных лагерях и трудоустроены. 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Классные руководители  не только добросовестно выполняют свои обязанности, но и активно взаимодействуют с администрацией школы по профилактике правонарушений, работе с «трудными детьми», семьями, находящиеся в социально-опасном положении.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Результат: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Работе с трудными подростками в школе уделяется достойное внимание.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Оказывается необходимая помощь детям из малообеспеченных семей. Ведется необходимая работа с детьми 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-и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>нвалидами.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Проблемное поле: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Снижается ответственность родителей за воспитание детей.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Низкий уровень образования родителей, материальные трудности в семьях.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Возможные пути преодоления недостатков: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7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Обеспечение социально – педагогического сопровождения детей, находящихся в социально – опасном положении.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7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Полное выполнение совместного плана работы всех служб школы.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7"/>
              </w:numPr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Классным руководителям усилить контроль за учащимися,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склонных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к правонарушениям, за семьями находящимися в сложной жизненной ситуации.   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pStyle w:val="a7"/>
              <w:spacing w:after="0" w:line="240" w:lineRule="auto"/>
              <w:ind w:left="776" w:firstLine="500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 xml:space="preserve">5.Работа с родителями. 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Со стороны школы родителям учащихся постоянно оказывается возможная помощь. Это, прежде всего, педагогические консультации, родительские собрания по темам: «Психическое и психологическое здоровье учащихся», «Профилактика асоциального поведения детей», «Влияние СМИ на развитие личности», «Значимость трудового воспитания», «Инструктаж с родителями», индивидуальные беседы об особенностях возраста и методов подхода к воспитанию ребенка, по профилактике суицида, употребления ПАВ, безнадзорности и правонарушений, сохранению и укреплению здоровья, т.е. педагогическое просвещение родителей. Кроме того школой оказывается помощь детям из малообеспеченных семей, они в первую очередь получают бесплатное питание. В системе проводятся тематические родительские собрания. Дети, нарушающие дисциплину в школе, приглашаются вместе с родителями на заседание школьной Комиссии Дисциплины и Порядка, проходящее два раза в месяц.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Классные руководители тесно взаимодействуют с членами родительского комитета. Родители своими силами оказывают помощь в ремонте кабинетов. В начальных классах родители оказывают помощь в организации классных мероприятий «День именинника», «Праздник первой оценки», «Осенняя ярмарка», «Семейный очаг» и т.д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..</w:t>
            </w:r>
            <w:proofErr w:type="gramEnd"/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Результат: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повысился уровень взаимодействия школы с родителями.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Проблемное поле: 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Родители стали активно привлекаться к участию во внеурочной деятельности.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Возможные пути преодоления недостатков:</w:t>
            </w:r>
          </w:p>
          <w:p w:rsidR="00130FE9" w:rsidRPr="00C83D0E" w:rsidRDefault="00130FE9" w:rsidP="00130FE9">
            <w:pPr>
              <w:pStyle w:val="a7"/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Уделять больше внимания качеству посещения родителями родительского собрания.</w:t>
            </w:r>
          </w:p>
          <w:p w:rsidR="00130FE9" w:rsidRPr="00C83D0E" w:rsidRDefault="00130FE9" w:rsidP="00130FE9">
            <w:pPr>
              <w:spacing w:after="0" w:line="240" w:lineRule="auto"/>
              <w:ind w:firstLine="127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127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6. Развитие ученического самоуправления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Работа педагога - организатора является неотъемлемой частью учебно-воспитательного процесса школы, что позволяет организовывать досуг обучающихся, и развивать их творческие и интеллектуальные способности.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Целью работы на 2018- 2019 года являлось: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создание условий для самореализации и всестороннего развития личности обучающихся и их активной жизни в обществе.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Задачи: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Создание благоприятных условий для развития личности;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Развитие самоуправления школьников, предоставление им реальной возможности в деятельности творческих и общественных объединений различной направленности;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Формирование и развитие коллектива;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Формирование здорового образа жизни;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Сохранение школьных традиций;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Выявление ярких и талантливых дарований среди детей и подростков, развитие их творческого потенциала;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формирование и развитие личностных качеств, необходимых для позитивной жизнедеятельности в детско-подростковой среде;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Эти задачи выступали ориентирами годового планирования педагога-организатора. Вся практическая деятельность была направлена на их решение. Воспитательная работа строилась по следующим направлениям: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Концертная деятельность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Патриотическая деятельность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Культурно - досуговые мероприятия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Экологическое воспитание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•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ab/>
              <w:t>Духовно - нравственное воспитание.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По каждому из указанных выше направлений, была проделана работа.  Всего было проведено 57 общешкольных мероприятий.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tbl>
            <w:tblPr>
              <w:tblW w:w="4916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>
            <w:tblGrid>
              <w:gridCol w:w="860"/>
              <w:gridCol w:w="1997"/>
              <w:gridCol w:w="2172"/>
              <w:gridCol w:w="9444"/>
            </w:tblGrid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№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/п</w:t>
                  </w: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Мероприятие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Время проведения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Примечание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 сентября «День знаний»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 сентября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Торжественная линейка, посвященная Дню знании. На мероприятие были приглашены ветераны педагогического труда. По окончанию торжественной линейки, во всех классах были проведены Уроки Мира, посвященные началу второй Мировой войны и событиям в Беслане, уроки «Готов к труду и обороне» и классные часы, посвященные празднованию 50-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летия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со дня получения первой продукции ПАО «НКНХ», и году экологии.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Конкурс исследовательских работ «Улицы моего города»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 сентября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 сентября в школе прошел конкурс исследовательских работ, посвященный городу Нижнекамску и улице Гагарина. Ребята отнеслись к работам с большим интересом и ответственностью.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Спортивное мероприятие «Весёлые старты»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 сентября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целях укрепления здоровья детей и развития двигательных умений, навыков и физических качеств, среди учащихся 2 классов были организованы и проведены «Веселые старты».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«Посвящение в первоклассники» 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 сентября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Для адаптации первоклассников в школе, и формирования духовно-нравственных, эстетических и коллективных качеств учащихся,  ребятами из ДОО «Содружество», было организовано и проведено внеклассное мероприятие.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Всероссийская акция «Единый час духовности»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21 сентября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Союз граждан и организаций по сохранению историко-культурного наследия Международный Союз «Наследники Победы» реализует Международные проекты «Единый час духовности «Голубь мира», в которых наша школа приняла активное участие! Цель данных проектов воздать дань памяти  тем, кто защищал мир в годы Великой Отечественной войны 1941-1945 годов и Второй мировой войны 1939-1945 годов.  В этот день, 21 сентября, в школе были организованы и проведены классные часы.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«Осенняя неделя добра – эстафета добрых дел»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25 сентября по 2 октября 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рамках благотворительной добровольческой акции, которая формируется на основе добровольческих мероприятий, в школе были организованы социально значимые благотворительные мероприятия, такие как: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психологические тренинги;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спортивные мероприятия;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благоустройство территорий;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экологические уроки;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фотоконкурсы;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мероприятие с участием ветеранов.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«День пожилого человека»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 октября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этот день наша школа открыла свои двери для наших уважаемых бабушек и дедушек. Для гостей была организована выставка поделок ручной работы, праздничный концерт, и организовано чаепитие.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Праздник улицы. Открытие спортивной площадки 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 октября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Во дворе школы была открыта многофункциональная площадка. На открытие пришел целый микрорайон, а наши ученики с радостью приняли участие в этом мероприятии. Также в рамках проекта «Улицы моего города» между учащимися школ №11 и гимназии №1 прошел товарищеский матч по футболу.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«День учителя»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 октября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 октября школьным советом старшеклассников  совместно с ДОО «Содружество»,  был организован и проведен праздничный концерт, посвященный Дню учителя. В этот день учителя были награждены грамотами, благодарственными  письмами и подарками. День прошел ярко и насыщенно.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Акция «Захоронить нельзя, переработать»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14 октября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В рамках реализации федерального партийного проекта «Экология России» ,14 октября состоялась городская акция по сбору макулатуры, где  наша школа приняла активное участие. 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Спортивные состязания «Папа, мама, я – спортивная семья!»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21 октября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 целью приобщения детей и родителей к здоровому образу жизни, для учащихся 2-4 классов, в школе было организовано и проведено спортивное мероприятие.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Конкурс «Алло мы ищем таланты»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15 – 17 ноября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школе прошел конкурс талантов среди учащихся 1- 11 классов. Учащиеся креативно подошли к презентации своих классов, и показали полноценные интересные номера.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«Папа, мама, я – спортивная семья!»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18 ноября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Для прививания интереса учащихся и родителей к систематическим занятиям физической культурой и спортом, в школе были проведены спортивные состязания среди 5-7 классов.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«День матери»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25 ноября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В этот день, в школе был организован и проведен праздничный концерт, посвященный мамам. 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Акция «Всемирный день борьбы со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СПИД-ом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.»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 декабря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Этот день стал одним из самых важных международных дней, связанный с вопросами здравоохранения и одной из ключевых возможностей повышения информированности, и должной памяти погибших от болезни. Наша школа приняла активное участие в данной акции – Борьбы со СПИДом. Учащимися 8 – 11 классов, была проведена беседа, с приглашенным специалистом из молодежной клиники. Был организован просмотр видеороликов, и розданы красные ленточки (символ борьбы со СПИДом).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«День Героев Отечества»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 декабря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 декабря Россия празднует памятную дату - День Героев Отечества. Это не только дань памяти героическим предкам, но и чествование ныне живущих Героев Советского Союза, Героев РФ. В рамках памятной даты, для ребят из отряда «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Юнармия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» в школе было организовано и проведено тестирование «История Отечественной войны».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«Новый год в моем окне»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15-25 декабря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рамках празднования Нового года, в школе было проведено ряд мероприятий: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конкурс рисунков,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-конкурс плакатов,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-конкурс новогодних композиций,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конкурс на лучшее оформление кабинета,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-праздничный концерт.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«День встречи выпускников»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 февраля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этот день ребятами ШСС была организована фотозона и небольшие встречи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Концерт «Снятие блокады Ленинграда».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27 января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рамках месячника гражданск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о-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патриотического воспитания, посвященного Дню защитника Отечества, 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 22 января – 26 января, в школе прошло множество мероприятий: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Классные часы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посещение ветеранов на дому;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школьные встречи с ветеранами;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праздничный концерт посвященный «Сталинградской битве и снятию блокады Ленинграда»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Конкурс «Смотр строя и песни», среди учащихся 1- 11 классов.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30 – 31 января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Традиционно, в преддверии  23 февраля, с целью воспитания в юношах и девушках чувства патриотизма, отработки умения выполнять строевые приемы как индивидуально, так и в составе отделения, правильного исполнения строевой песни в движении, состоялся школьный этап  конкурса «Смотр строя и песни».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Конкурс чтецов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13-14 февраля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В школе состоялся конкурс чтецов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среди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1-11классов, 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посвященный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ВОВ. Все участники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проникнулись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тематикой конкурса, и очень достойно выступили!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Конкурс военно - инсценированной песни 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 февраля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 февраля, в школе состоялся конкурс военно-инсценированной песни среди 2-11 классов. Открыли конкурс начальная школа, вслед за ними выступали учащиеся среднего звена, и завершили конкурс учащиеся старших классов. День выдался насыщенным, все участники были подготовлены основательно. Каждый номер был продуман до мелочей.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Праздничный концерт посвященный «Дню защитника Отечества»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21февраля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преддверии Дня защитника отечества, ДОО «Содружество» был организован и проведен праздничный концерт. На сцене звучали стихи, песни, были исполнены танцы. Зал был  полон гостей.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 марта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 марта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В этот день совместными усилиями ШСС, и ДОО «Содружество» в школе была организована праздничная атмосфера, все учащиеся поздравляли учителей. 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«Весенняя неделя добра»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12-18 марта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Весенняя неделя добра (ВНД) – ежегодная общероссийская добровольческая акция, которая проводится повсеместно в нашей стране. Целью ВНД является продвижение идеи добровольчества как важного ресурса для решения социальных проблем местного сообщества и повышение гражданской активности населения. В рамках ВНД добровольцами нашей школы было проведено ряд мероприятий: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психологические тренинги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классные часы, посвященные творческому наследию великого русского писателя Л.Н Толстого.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«День добрых дел» учащиеся делали любые добрые дела, заклеивали учебники, сажали растения, и др.,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 «Спортивный Татарстан» спортивные мероприятия.</w:t>
                  </w:r>
                </w:p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- «Ветераны живут рядом»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-о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казание адресной помощи пожилым, ветеранам и участникам ВОВ, 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инвалидам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Всемирный день здоровья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 апреля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«Здоровье для всех!», под этим лозунгом прошёл день здоровья в нашей школе. В честь этого значимого события, активистами школы было принято решение, организовать различные мероприятия, направленные на привлечение учащихся к ЗОЖ -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флеш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-моб, активные переменки, линейки и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увлекательный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квест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Всемирный день авиации и космонавтики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12 апреля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этот день наша школа приняла активное участие в Республиканской акции «108 минут с Юрием Гагариным». С учащимися были проведены открытые уроки, классные часы на тему «Космос далёкий и близкий», и организован просмотр фильма «Первый полёт человека в космос».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День победы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 мая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В этот день, в преддверии праздника победы, для ветеранов ВОВ, тружеников тыла, детей войны, в нашей школе был организован праздничный концерт. </w:t>
                  </w:r>
                </w:p>
              </w:tc>
            </w:tr>
            <w:tr w:rsidR="00130FE9" w:rsidRPr="00C83D0E" w:rsidTr="00130FE9">
              <w:trPr>
                <w:trHeight w:val="20"/>
              </w:trPr>
              <w:tc>
                <w:tcPr>
                  <w:tcW w:w="30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130FE9" w:rsidRPr="00C83D0E" w:rsidRDefault="00130FE9" w:rsidP="00130FE9">
                  <w:pPr>
                    <w:numPr>
                      <w:ilvl w:val="0"/>
                      <w:numId w:val="35"/>
                    </w:numPr>
                    <w:spacing w:after="0" w:line="240" w:lineRule="auto"/>
                    <w:ind w:left="0" w:firstLine="0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7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День чести школы</w:t>
                  </w:r>
                </w:p>
              </w:tc>
              <w:tc>
                <w:tcPr>
                  <w:tcW w:w="754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17 мая</w:t>
                  </w:r>
                </w:p>
              </w:tc>
              <w:tc>
                <w:tcPr>
                  <w:tcW w:w="326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130FE9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18 мая в нашей школе состоялся праздничный концерт посвященный «Дню чести школы». Почетными грамотами и подарками были награждены все отличники учебы,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олимпиадники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, победители различных конференций, и учителя подготовившие ребят. </w:t>
                  </w:r>
                </w:p>
              </w:tc>
            </w:tr>
          </w:tbl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Наши ученики приняли участие во многих мероприятиях в разных уровнях и занимали достойные места.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tbl>
            <w:tblPr>
              <w:tblW w:w="140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68"/>
              <w:gridCol w:w="2542"/>
              <w:gridCol w:w="7158"/>
              <w:gridCol w:w="1909"/>
              <w:gridCol w:w="1838"/>
            </w:tblGrid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№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/п</w:t>
                  </w: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ind w:firstLine="33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ФИ ученика, класс</w:t>
                  </w: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ind w:firstLine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Наименование конкурса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ind w:firstLine="33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Результат 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ФИО учителя</w:t>
                  </w:r>
                </w:p>
              </w:tc>
            </w:tr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pStyle w:val="a7"/>
                    <w:spacing w:after="0" w:line="240" w:lineRule="auto"/>
                    <w:ind w:left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Школа 11, отряд «Стимул»</w:t>
                  </w: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Республиканский конкурс «Актив года 2019»,2019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Диплом 1 степени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Хакимова В.В.</w:t>
                  </w:r>
                </w:p>
              </w:tc>
            </w:tr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pStyle w:val="a7"/>
                    <w:spacing w:after="0" w:line="240" w:lineRule="auto"/>
                    <w:ind w:left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Школа 11, отряд «Стимул»</w:t>
                  </w: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Муниципальный этап конкурса «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Квест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Планета Здоровья»,2018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Диплом 1 степени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Хакимова В.В.</w:t>
                  </w:r>
                </w:p>
              </w:tc>
            </w:tr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pStyle w:val="a7"/>
                    <w:spacing w:after="0" w:line="240" w:lineRule="auto"/>
                    <w:ind w:left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Команда активистов РДШ, СОШ №11</w:t>
                  </w: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День рождения РДШ,2019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Диплом 2 степени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Хакимова В.В.</w:t>
                  </w:r>
                </w:p>
              </w:tc>
            </w:tr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pStyle w:val="a7"/>
                    <w:spacing w:after="0" w:line="240" w:lineRule="auto"/>
                    <w:ind w:left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Хакимова В.В.</w:t>
                  </w: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РДШ, 2019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Благодарственное письмо за активное участие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Хакимова В.В. </w:t>
                  </w:r>
                </w:p>
              </w:tc>
            </w:tr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pStyle w:val="a7"/>
                    <w:spacing w:after="0" w:line="240" w:lineRule="auto"/>
                    <w:ind w:left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Саитгареева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Лэйла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, 7В</w:t>
                  </w:r>
                </w:p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Республиканский конкурс «Лидер года 2018», 2018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Сертификат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Хакимова В.В.</w:t>
                  </w:r>
                </w:p>
              </w:tc>
            </w:tr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pStyle w:val="a7"/>
                    <w:spacing w:after="0" w:line="240" w:lineRule="auto"/>
                    <w:ind w:left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Саитгареева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Лэйла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, 7В</w:t>
                  </w:r>
                </w:p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Всероссийский конкурс «Фокус», 2019</w:t>
                  </w:r>
                </w:p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 xml:space="preserve">Победитель в номинации «Первозданная 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Россия»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Хакимова В.В.</w:t>
                  </w:r>
                </w:p>
              </w:tc>
            </w:tr>
            <w:tr w:rsidR="00130FE9" w:rsidRPr="00C83D0E" w:rsidTr="00130FE9">
              <w:tc>
                <w:tcPr>
                  <w:tcW w:w="5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30FE9" w:rsidRPr="00C83D0E" w:rsidRDefault="00130FE9">
                  <w:pPr>
                    <w:pStyle w:val="a7"/>
                    <w:spacing w:after="0" w:line="240" w:lineRule="auto"/>
                    <w:ind w:left="709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55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Хакимова В.В.</w:t>
                  </w:r>
                </w:p>
              </w:tc>
              <w:tc>
                <w:tcPr>
                  <w:tcW w:w="72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Республиканский конкурс авторских программ, методических разработок и научных публикаций по развитию детского движения, 2018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Сертификат</w:t>
                  </w:r>
                </w:p>
              </w:tc>
              <w:tc>
                <w:tcPr>
                  <w:tcW w:w="18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30FE9" w:rsidRPr="00C83D0E" w:rsidRDefault="00130FE9">
                  <w:pPr>
                    <w:spacing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Хакимова В.В.</w:t>
                  </w:r>
                </w:p>
              </w:tc>
            </w:tr>
          </w:tbl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Анализируя всю работу, проделанную за учебный год, хотелось бы отметить положительные моменты: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– ответственное отношение классных руководителей к подготовке детей для мероприятий;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отличное музыкальное оформление на всех мероприятиях;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- активная помощь в организации со стороны учащихся, а так же со стороны актива ДОО «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Содружество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»и</w:t>
            </w:r>
            <w:proofErr w:type="spellEnd"/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отряда «Стимул»;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- разнообразие форм проведения, тематики мероприятий;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- добросовестное отношение в подготовке концертных номеров;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Что не удалось: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- работа была перегружена мероприятиями вне плана, поэтому не все мероприятия по годовому плану были проведены;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- не удалось участвовать во многих конкурсах РДШ, в связи с сильной загруженностью учащихся внеплановыми мероприятиями.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Недостаточное количество значимых наград.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Проблемы и перспективы: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проводить мероприятия, которые запланированы;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стараться планировать и проводить мероприятия совместно с педагогами;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педагогам наиболее ответственно подходить к участию в мероприятиях школы;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разработать мероприятия совместные с классными руководителями;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принять активное участие в Российском движении школьников.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- принимать активное участие в Республиканских и Всероссийских конкурсах.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следующем 2019–2020 учебном году планируется продолжить работу по всем направлениям, особо уделив внимание Российскому движению школьников, и добровольчеству. Необходимо активнее принимать участие в Республиканских и всероссийских конкурсах активистов. Проводить больше интересных и увлекательных мероприятий,  а также стремиться к большему привлечению учащихся в организации и проведении мероприятий. Организовать работу по обучению актива (проявление большей самостоятельности при подготовке и проведении мероприятий).</w:t>
            </w: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ind w:firstLine="1276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pStyle w:val="a7"/>
              <w:spacing w:after="0" w:line="240" w:lineRule="auto"/>
              <w:ind w:left="106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7. Работа классных руководителей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 этом учебном году работало 26 классных руководителя.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Анализ и изучение работы классных руководителей с классным коллективом показал, что деятельность большинства классных коллективов направлен на реализацию общешкольных и социально значимых задач.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Классные руководители ведут учет занятости учащихся во внеурочное время, организовывают внеклассные мероприятия; проводят профилактическую работу с учащимися и родителями.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 традиционных школьных мероприятиях принимают участие все классы, но степень  активности классов в жизни школы, естественно, разная. Это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>связано с работой классных руководителей их желанием и умением организовать, зажечь детей, умением привлекать к участию в мероприятиях каждого ученика. Большое значение имеет сформированность классного коллектива, отношения между учениками в классе.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1. Не все учащиеся активно включены в жизнедеятельность ученического коллектива, не у всех находится дело по интересу.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2. Доброжелательные отношения между учащимися в классе не всегда выражаются в действенной помощи друг к другу.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3. В поведении некоторых учащихся наблюдаются факты невоспитанности и бестактности, межличностные отношения не всегда отличаются доброжелательностью и взаимопомощью 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Все классные руководители взаимодействуют с родителями, осуществляют воспитательную деятельность в тесном сотрудничестве с соц. педагогом, педагогом-психологом и  заместителем директора  по ВР.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Результат: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1.В целом работу классных руководителей можно считать удовлетворительной.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2. Сдача отчетов своевременной. </w:t>
            </w:r>
          </w:p>
          <w:p w:rsidR="00130FE9" w:rsidRPr="00C83D0E" w:rsidRDefault="00130FE9" w:rsidP="00130F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1276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8.Дополнительное образование.</w:t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С целью получения объективной информации о занятости учащихся в дополнительном образовании  была проведена тематическая проверка.  Объектом контроля являлась деятельность классного руководителя по вовлечению учащихся в дополнительное образование. Анализ проводился на основе изучения Карты интересов учащихся, состояния плана воспитательной работы классного руководителя.  </w:t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ходе проверки были затронуты не только вопросы организации дополнительного образования  на базе школы, но также и посещение воспитанниками учреждений дополнительного образования городского округа.</w:t>
            </w: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Занятость детей 1-4 классов:</w:t>
            </w: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noProof/>
                <w:lang w:eastAsia="ru-RU"/>
              </w:rPr>
              <w:drawing>
                <wp:inline distT="0" distB="0" distL="0" distR="0" wp14:anchorId="7E994D34" wp14:editId="5A33AEF6">
                  <wp:extent cx="4803775" cy="1719580"/>
                  <wp:effectExtent l="0" t="0" r="0" b="0"/>
                  <wp:docPr id="3" name="Диаграмм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На диаграмме представлено количество  соотношения между учащимися, не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вовлеченных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в дополнительное образование (желтый цвет) и учащимися, посещающих ДО в школе (синий цвет)  и ДО в городе (красный цвет).</w:t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Наибольший процент «неохваченных» детей в 2б классе (классный руководитель Савченко Т.Р.) – 27% 7человек, 4б класс (классный руководитель Назарова А.И.) – 21 % 6 человек.</w:t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100% охват учащихся во 1а (Никитина Е.И.), 1б (Федянина И.А.) </w:t>
            </w: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Занятость учащихся в 5-8 классах:</w:t>
            </w: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noProof/>
                <w:lang w:eastAsia="ru-RU"/>
              </w:rPr>
              <w:lastRenderedPageBreak/>
              <w:drawing>
                <wp:inline distT="0" distB="0" distL="0" distR="0" wp14:anchorId="6982EF36" wp14:editId="5F1FE174">
                  <wp:extent cx="3930650" cy="1719580"/>
                  <wp:effectExtent l="0" t="0" r="0" b="0"/>
                  <wp:docPr id="2" name="Диаграмм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Среди классных коллективов 5-8 классов наибольший процент не занятых внеурочной деятельностью  детей в 7а – 81% (18 человек)  и 8б классах  – 56%  (14 человек).</w:t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100% занятость отмечается в 5а (Косова Н.В.), 6а (Синьория М.В.).</w:t>
            </w: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Занятость учащихся в 9-11 классах:</w:t>
            </w: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130FE9" w:rsidRPr="00C83D0E" w:rsidRDefault="00130FE9" w:rsidP="00130FE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noProof/>
                <w:lang w:eastAsia="ru-RU"/>
              </w:rPr>
              <w:drawing>
                <wp:inline distT="0" distB="0" distL="0" distR="0" wp14:anchorId="5AE46DC4" wp14:editId="0853D5CB">
                  <wp:extent cx="3439160" cy="2306320"/>
                  <wp:effectExtent l="0" t="0" r="0" b="0"/>
                  <wp:docPr id="1" name="Диаграмм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Для того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,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чтобы отразить реальную занятость учащихся 9-11 классов, необходимо принять во внимание то, что ведущей целью старшего школьного возраста является обучение. Большинство учащихся данной ступени  посещают факультативные и элективные  и профильные курсы. Поэтому при анализе занятости учащихся принималось во внимание их учебная нагрузка.</w:t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Суммарный показатель занимающихся детей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в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ДО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на базе школы 534 человек (81%) и на базе учреждений ДО город – 179 человека (27%). </w:t>
            </w:r>
          </w:p>
          <w:p w:rsidR="00130FE9" w:rsidRPr="00C83D0E" w:rsidRDefault="00130FE9" w:rsidP="00130FE9">
            <w:pPr>
              <w:suppressLineNumbers/>
              <w:suppressAutoHyphens/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Данный анализ был проведен с целью определения детских предпочтений для дальнейшего совершенствования работы по организации детской внеурочной занятости. Мониторинг показал, что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спектр услуг, предоставляемый школой наиболее востребован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>, что отчасти объясняется местоположением в школе. Однако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,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ученики школы занимаются и в отдаленных от школы учреждениях: ДЮСШ, ФАКЕЛ, ДШИ, хореографические коллективы «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Нардуган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>», «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Тамчылар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»,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ДТДиМ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им.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И.Х.Садыкова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,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Кванториум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</w:p>
          <w:p w:rsidR="00130FE9" w:rsidRPr="00C83D0E" w:rsidRDefault="00130FE9" w:rsidP="00130FE9">
            <w:pPr>
              <w:spacing w:after="0" w:line="240" w:lineRule="auto"/>
              <w:ind w:firstLine="708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>Таким образом, из 664 учеников в дополнительные занятия вовлечены 539 человек, что составляет 82%.</w:t>
            </w:r>
          </w:p>
          <w:p w:rsidR="00130FE9" w:rsidRPr="00C83D0E" w:rsidRDefault="00130FE9" w:rsidP="00130FE9">
            <w:pPr>
              <w:pStyle w:val="a7"/>
              <w:spacing w:after="0" w:line="240" w:lineRule="auto"/>
              <w:ind w:left="0"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Содержание и качество подготовки</w:t>
            </w:r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Статистика показателей за 2016–2019 годы</w:t>
            </w:r>
          </w:p>
          <w:tbl>
            <w:tblPr>
              <w:tblW w:w="0" w:type="auto"/>
              <w:tblInd w:w="808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42"/>
              <w:gridCol w:w="6031"/>
              <w:gridCol w:w="1361"/>
              <w:gridCol w:w="1469"/>
              <w:gridCol w:w="1527"/>
              <w:gridCol w:w="1527"/>
            </w:tblGrid>
            <w:tr w:rsidR="00BC288B" w:rsidRPr="00C83D0E" w:rsidTr="00806D1C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№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/п</w:t>
                  </w: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Параметры статистики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2016–2017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учебный год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2017–2018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учебный год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2018-2019 учебный год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2019-2020 учебный год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Количество детей, обучавшихся на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конец учебного года (для 2019–2020 –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на конец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2019 года), в том числе: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585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618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665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693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начальная школа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264</w:t>
                  </w:r>
                </w:p>
              </w:tc>
              <w:tc>
                <w:tcPr>
                  <w:tcW w:w="1469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299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311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352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основная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280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275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310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293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средняя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41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44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44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48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Количество учеников, оставленных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на повторное обучение: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начальная школа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1469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основная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2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средняя школа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Не получили аттестата: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об основном общем образовании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469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-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–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среднем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общем образовании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Окончили школу с аттестатом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особого образца: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в основной школе 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1469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  <w:tc>
                <w:tcPr>
                  <w:tcW w:w="1527" w:type="dxa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 средней школе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146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–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-</w:t>
                  </w:r>
                </w:p>
              </w:tc>
              <w:tc>
                <w:tcPr>
                  <w:tcW w:w="152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</w:tr>
            <w:tr w:rsidR="00BC288B" w:rsidRPr="00C83D0E" w:rsidTr="00806D1C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6031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469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527" w:type="dxa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527" w:type="dxa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Профильное обучение реализуется в средней школе, углубленное обучение в основной школе по математике, русскому языку, биологии и обществознанию.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Краткий анализ динамики результатов успеваемости и качества знаний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 освоения учащимися программ начального общего образования по показателю «успеваемость» в 2019 учебном году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 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78"/>
              <w:gridCol w:w="895"/>
              <w:gridCol w:w="868"/>
              <w:gridCol w:w="1175"/>
              <w:gridCol w:w="1584"/>
              <w:gridCol w:w="1134"/>
              <w:gridCol w:w="1181"/>
              <w:gridCol w:w="455"/>
              <w:gridCol w:w="895"/>
              <w:gridCol w:w="228"/>
              <w:gridCol w:w="228"/>
              <w:gridCol w:w="754"/>
              <w:gridCol w:w="408"/>
              <w:gridCol w:w="917"/>
              <w:gridCol w:w="459"/>
              <w:gridCol w:w="186"/>
            </w:tblGrid>
            <w:tr w:rsidR="00BC288B" w:rsidRPr="00C83D0E" w:rsidTr="00BC288B">
              <w:trPr>
                <w:gridAfter w:val="1"/>
              </w:trPr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Классы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 </w:t>
                  </w:r>
                </w:p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обуч-ся</w:t>
                  </w:r>
                  <w:proofErr w:type="spellEnd"/>
                </w:p>
              </w:tc>
              <w:tc>
                <w:tcPr>
                  <w:tcW w:w="2043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Из них успевают</w:t>
                  </w:r>
                </w:p>
              </w:tc>
              <w:tc>
                <w:tcPr>
                  <w:tcW w:w="2718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Окончили год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Окончили год</w:t>
                  </w:r>
                </w:p>
              </w:tc>
              <w:tc>
                <w:tcPr>
                  <w:tcW w:w="2456" w:type="dxa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Не 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Переведены </w:t>
                  </w:r>
                </w:p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условно</w:t>
                  </w:r>
                </w:p>
              </w:tc>
            </w:tr>
            <w:tr w:rsidR="00BC288B" w:rsidRPr="00C83D0E" w:rsidTr="00BC288B">
              <w:trPr>
                <w:gridAfter w:val="1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043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718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</w:t>
                  </w:r>
                </w:p>
              </w:tc>
              <w:tc>
                <w:tcPr>
                  <w:tcW w:w="1082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Из них н/а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rPr>
                <w:gridAfter w:val="1"/>
              </w:trPr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11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отметкам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и «4» и «5»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отметками</w:t>
                  </w:r>
                </w:p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7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</w:tr>
            <w:tr w:rsidR="00BC288B" w:rsidRPr="00C83D0E" w:rsidTr="00BC288B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2A6CCA" w:rsidP="00806D1C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  <w:r w:rsidR="00806D1C" w:rsidRPr="00C83D0E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2A6CCA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88</w:t>
                  </w:r>
                </w:p>
              </w:tc>
              <w:tc>
                <w:tcPr>
                  <w:tcW w:w="11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98,8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2A6CCA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61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68,5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2A6CCA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5,6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1,1</w:t>
                  </w:r>
                </w:p>
              </w:tc>
              <w:tc>
                <w:tcPr>
                  <w:tcW w:w="7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2A6CCA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74</w:t>
                  </w:r>
                </w:p>
              </w:tc>
              <w:tc>
                <w:tcPr>
                  <w:tcW w:w="11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98,6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53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71,6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6,6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2A6CCA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1,3</w:t>
                  </w:r>
                </w:p>
              </w:tc>
              <w:tc>
                <w:tcPr>
                  <w:tcW w:w="7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2A6CCA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81</w:t>
                  </w:r>
                </w:p>
              </w:tc>
              <w:tc>
                <w:tcPr>
                  <w:tcW w:w="11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100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2A6CCA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45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55,5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7,4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7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rPr>
                <w:gridAfter w:val="1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Итого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D27F6D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245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D27F6D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243</w:t>
                  </w:r>
                </w:p>
              </w:tc>
              <w:tc>
                <w:tcPr>
                  <w:tcW w:w="11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99,1</w:t>
                  </w:r>
                </w:p>
              </w:tc>
              <w:tc>
                <w:tcPr>
                  <w:tcW w:w="15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2A6CCA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159</w:t>
                  </w:r>
                </w:p>
              </w:tc>
              <w:tc>
                <w:tcPr>
                  <w:tcW w:w="113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64,8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6,5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806D1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9345B5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0,8</w:t>
                  </w:r>
                </w:p>
              </w:tc>
              <w:tc>
                <w:tcPr>
                  <w:tcW w:w="70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130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58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134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70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Если сравнить результаты освоения обучающимися программ начального общего образования по показателю «успеваемость» в 201</w:t>
            </w:r>
            <w:r w:rsidR="00B125E2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 с результатами освоения учащимися программ начального общего образования по показателю «успеваемость» в 201</w:t>
            </w:r>
            <w:r w:rsidR="00B125E2" w:rsidRPr="00C83D0E">
              <w:rPr>
                <w:rFonts w:ascii="Times New Roman" w:eastAsia="Times New Roman" w:hAnsi="Times New Roman"/>
                <w:lang w:eastAsia="ru-RU"/>
              </w:rPr>
              <w:t>8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году, то можно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 xml:space="preserve">отметить, что процент учащихся, окончивших на «4» и «5», увеличился на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 xml:space="preserve">8,7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>%  (в 201</w:t>
            </w:r>
            <w:r w:rsidR="00C163C9" w:rsidRPr="00C83D0E">
              <w:rPr>
                <w:rFonts w:ascii="Times New Roman" w:eastAsia="Times New Roman" w:hAnsi="Times New Roman"/>
                <w:lang w:eastAsia="ru-RU"/>
              </w:rPr>
              <w:t>8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был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56,1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%), процент учащихся, окончивших на «5»,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 xml:space="preserve">увеличился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на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0,2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процента (в 201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8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–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6,3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%).</w:t>
            </w:r>
            <w:proofErr w:type="gramEnd"/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 освоения учащимися программ основного общего образования по показателю «успеваемость» в 201</w:t>
            </w:r>
            <w:r w:rsidR="00C163C9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78"/>
              <w:gridCol w:w="895"/>
              <w:gridCol w:w="834"/>
              <w:gridCol w:w="565"/>
              <w:gridCol w:w="1236"/>
              <w:gridCol w:w="565"/>
              <w:gridCol w:w="1332"/>
              <w:gridCol w:w="712"/>
              <w:gridCol w:w="620"/>
              <w:gridCol w:w="455"/>
              <w:gridCol w:w="870"/>
              <w:gridCol w:w="525"/>
              <w:gridCol w:w="861"/>
              <w:gridCol w:w="1069"/>
            </w:tblGrid>
            <w:tr w:rsidR="00BC288B" w:rsidRPr="00C83D0E" w:rsidTr="00BC288B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Классы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обуч-ся</w:t>
                  </w:r>
                  <w:proofErr w:type="spellEnd"/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Из них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Окончили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год</w:t>
                  </w:r>
                </w:p>
              </w:tc>
              <w:tc>
                <w:tcPr>
                  <w:tcW w:w="2044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Окончили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год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Не успевают</w:t>
                  </w:r>
                </w:p>
              </w:tc>
              <w:tc>
                <w:tcPr>
                  <w:tcW w:w="1930" w:type="dxa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Переведены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условно</w:t>
                  </w:r>
                </w:p>
              </w:tc>
            </w:tr>
            <w:tr w:rsidR="00BC288B" w:rsidRPr="00C83D0E" w:rsidTr="00421FCF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044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992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</w:t>
                  </w:r>
                </w:p>
              </w:tc>
              <w:tc>
                <w:tcPr>
                  <w:tcW w:w="1395" w:type="dxa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Из них н/а</w:t>
                  </w:r>
                </w:p>
              </w:tc>
              <w:tc>
                <w:tcPr>
                  <w:tcW w:w="1930" w:type="dxa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421FCF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отметками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«4» и 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1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отметками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«5»</w:t>
                  </w:r>
                </w:p>
              </w:tc>
              <w:tc>
                <w:tcPr>
                  <w:tcW w:w="71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во</w:t>
                  </w:r>
                </w:p>
              </w:tc>
              <w:tc>
                <w:tcPr>
                  <w:tcW w:w="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8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10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</w:tr>
            <w:tr w:rsidR="00BC288B" w:rsidRPr="00C83D0E" w:rsidTr="00C8109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125E2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C163C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33,3</w:t>
                  </w:r>
                </w:p>
              </w:tc>
              <w:tc>
                <w:tcPr>
                  <w:tcW w:w="1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71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8,3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0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C8109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38,6</w:t>
                  </w:r>
                </w:p>
              </w:tc>
              <w:tc>
                <w:tcPr>
                  <w:tcW w:w="1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71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8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0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C8109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125E2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33,3</w:t>
                  </w:r>
                </w:p>
              </w:tc>
              <w:tc>
                <w:tcPr>
                  <w:tcW w:w="1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71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3,7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0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C8109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C163C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C163C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98,4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C163C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40,9</w:t>
                  </w:r>
                </w:p>
              </w:tc>
              <w:tc>
                <w:tcPr>
                  <w:tcW w:w="1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71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1,5</w:t>
                  </w:r>
                </w:p>
              </w:tc>
              <w:tc>
                <w:tcPr>
                  <w:tcW w:w="8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0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C8109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421FCF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C81097" w:rsidP="00421FCF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421FCF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64</w:t>
                  </w:r>
                </w:p>
              </w:tc>
              <w:tc>
                <w:tcPr>
                  <w:tcW w:w="1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71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8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421FCF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0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C81097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Итого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293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288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98,2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122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41,6</w:t>
                  </w:r>
                </w:p>
              </w:tc>
              <w:tc>
                <w:tcPr>
                  <w:tcW w:w="1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12</w:t>
                  </w:r>
                </w:p>
              </w:tc>
              <w:tc>
                <w:tcPr>
                  <w:tcW w:w="71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33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1,7</w:t>
                  </w:r>
                </w:p>
              </w:tc>
              <w:tc>
                <w:tcPr>
                  <w:tcW w:w="87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DE47E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0,3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03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421FCF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33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71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332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870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1036" w:type="dxa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Если сравнить результаты освоения обучающимися программ основного общего образования по показателю «успеваемость» в 201</w:t>
            </w:r>
            <w:r w:rsidR="00B125E2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 с результатами освоения учащимися программ основного общего образования по показателю «успеваемость» в 201</w:t>
            </w:r>
            <w:r w:rsidR="00B125E2" w:rsidRPr="00C83D0E">
              <w:rPr>
                <w:rFonts w:ascii="Times New Roman" w:eastAsia="Times New Roman" w:hAnsi="Times New Roman"/>
                <w:lang w:eastAsia="ru-RU"/>
              </w:rPr>
              <w:t>8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году, то можно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 xml:space="preserve">отметить, что процент учащихся, окончивших на «4» и «5»,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 xml:space="preserve">увеличился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на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4,4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(в 201</w:t>
            </w:r>
            <w:r w:rsidR="00B125E2" w:rsidRPr="00C83D0E">
              <w:rPr>
                <w:rFonts w:ascii="Times New Roman" w:eastAsia="Times New Roman" w:hAnsi="Times New Roman"/>
                <w:lang w:eastAsia="ru-RU"/>
              </w:rPr>
              <w:t>8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был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37,2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%), процент учащихся, окончивших на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 xml:space="preserve">«5», 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снизился на 0,2</w:t>
            </w:r>
            <w:r w:rsidR="00C81097" w:rsidRPr="00C83D0E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(в 201</w:t>
            </w:r>
            <w:r w:rsidR="00B125E2" w:rsidRPr="00C83D0E">
              <w:rPr>
                <w:rFonts w:ascii="Times New Roman" w:eastAsia="Times New Roman" w:hAnsi="Times New Roman"/>
                <w:lang w:eastAsia="ru-RU"/>
              </w:rPr>
              <w:t>8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– </w:t>
            </w:r>
            <w:r w:rsidR="00B125E2" w:rsidRPr="00C83D0E">
              <w:rPr>
                <w:rFonts w:ascii="Times New Roman" w:eastAsia="Times New Roman" w:hAnsi="Times New Roman"/>
                <w:lang w:eastAsia="ru-RU"/>
              </w:rPr>
              <w:t>4,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2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>%).</w:t>
            </w:r>
            <w:proofErr w:type="gramEnd"/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 освоения программ среднего общего образования обучающимися 10, 11 классов по показателю «успеваемость» в 2018 году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78"/>
              <w:gridCol w:w="895"/>
              <w:gridCol w:w="834"/>
              <w:gridCol w:w="510"/>
              <w:gridCol w:w="1181"/>
              <w:gridCol w:w="565"/>
              <w:gridCol w:w="1236"/>
              <w:gridCol w:w="565"/>
              <w:gridCol w:w="834"/>
              <w:gridCol w:w="364"/>
              <w:gridCol w:w="834"/>
              <w:gridCol w:w="364"/>
              <w:gridCol w:w="880"/>
              <w:gridCol w:w="441"/>
              <w:gridCol w:w="400"/>
              <w:gridCol w:w="682"/>
            </w:tblGrid>
            <w:tr w:rsidR="00BC288B" w:rsidRPr="00C83D0E" w:rsidTr="00BC288B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Классы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обуч-ся</w:t>
                  </w:r>
                  <w:proofErr w:type="spellEnd"/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Из них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Окончили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полугодие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Окончили год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Не успевают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Переведены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условно</w:t>
                  </w:r>
                </w:p>
              </w:tc>
              <w:tc>
                <w:tcPr>
                  <w:tcW w:w="0" w:type="auto"/>
                  <w:gridSpan w:val="2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Сменили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форму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обучения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Из них н/а</w:t>
                  </w: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  <w:tr w:rsidR="00BC288B" w:rsidRPr="00C83D0E" w:rsidTr="00BC288B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отметками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«4» и 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отметками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Кол-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во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10,7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Итого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C8109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  <w:r w:rsidR="00C81097"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66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,6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C8109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8,3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bottom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 освоения учащимися программ среднего общего образования по показателю «успеваемость» в 201</w:t>
            </w:r>
            <w:r w:rsidR="00C81097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учебном году снизилась на </w:t>
            </w:r>
            <w:r w:rsidR="00C81097" w:rsidRPr="00C83D0E">
              <w:rPr>
                <w:rFonts w:ascii="Times New Roman" w:eastAsia="Times New Roman" w:hAnsi="Times New Roman"/>
                <w:lang w:eastAsia="ru-RU"/>
              </w:rPr>
              <w:t>5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процент</w:t>
            </w:r>
            <w:r w:rsidR="00C81097" w:rsidRPr="00C83D0E">
              <w:rPr>
                <w:rFonts w:ascii="Times New Roman" w:eastAsia="Times New Roman" w:hAnsi="Times New Roman"/>
                <w:lang w:eastAsia="ru-RU"/>
              </w:rPr>
              <w:t>ов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(в 201</w:t>
            </w:r>
            <w:r w:rsidR="00C81097" w:rsidRPr="00C83D0E">
              <w:rPr>
                <w:rFonts w:ascii="Times New Roman" w:eastAsia="Times New Roman" w:hAnsi="Times New Roman"/>
                <w:lang w:eastAsia="ru-RU"/>
              </w:rPr>
              <w:t>8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количество обучающихся, которые закончили полугодие на «4» и «5», было </w:t>
            </w:r>
            <w:r w:rsidR="00C81097" w:rsidRPr="00C83D0E">
              <w:rPr>
                <w:rFonts w:ascii="Times New Roman" w:eastAsia="Times New Roman" w:hAnsi="Times New Roman"/>
                <w:lang w:eastAsia="ru-RU"/>
              </w:rPr>
              <w:t>71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%), процент учащихся, окончивших на «5» </w:t>
            </w:r>
            <w:r w:rsidR="00C81097" w:rsidRPr="00C83D0E">
              <w:rPr>
                <w:rFonts w:ascii="Times New Roman" w:eastAsia="Times New Roman" w:hAnsi="Times New Roman"/>
                <w:lang w:eastAsia="ru-RU"/>
              </w:rPr>
              <w:t>уменьшился на 2,6%.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 сдачи ЕГЭ 201</w:t>
            </w:r>
            <w:r w:rsidR="009345B5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года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30"/>
              <w:gridCol w:w="1575"/>
              <w:gridCol w:w="2327"/>
              <w:gridCol w:w="2387"/>
              <w:gridCol w:w="1484"/>
            </w:tblGrid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Предмет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Сдавали всего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Сколько обучающихся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получили 100 баллов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Сколько обучающихся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получили 90–98 баллов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Средний балл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Русский язык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74,7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Математика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Б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4,7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 xml:space="preserve">Математика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65,15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Физика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7,8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Химия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56,7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Информатика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64,9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Биология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6,3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История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74,5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Литература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75,5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Обществознание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1,4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Английский язык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5,5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Итого: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66,24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201</w:t>
            </w:r>
            <w:r w:rsidR="004F45C7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 результаты ЕГЭ улучшились по сравнению с 201</w:t>
            </w:r>
            <w:r w:rsidR="004F45C7" w:rsidRPr="00C83D0E">
              <w:rPr>
                <w:rFonts w:ascii="Times New Roman" w:eastAsia="Times New Roman" w:hAnsi="Times New Roman"/>
                <w:lang w:eastAsia="ru-RU"/>
              </w:rPr>
              <w:t xml:space="preserve">8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годом. 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 сдачи ОГЭ 201</w:t>
            </w:r>
            <w:r w:rsidR="004F45C7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года</w:t>
            </w: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30"/>
              <w:gridCol w:w="1575"/>
              <w:gridCol w:w="2327"/>
              <w:gridCol w:w="2327"/>
              <w:gridCol w:w="2327"/>
              <w:gridCol w:w="2327"/>
            </w:tblGrid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Предмет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Сдавали всего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Сколько обучающихся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получили 100 баллов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Сколько обучающихся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получили «5»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Сколько обучающихся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получили «4»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Сколько обучающихся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получили «3»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Математика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Русский язык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Физика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Обществознание 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Химия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Биология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Информатика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География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4F45C7"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</w:p>
              </w:tc>
            </w:tr>
            <w:tr w:rsidR="004F45C7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4F45C7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Английский язык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4F45C7" w:rsidRPr="00C83D0E" w:rsidRDefault="004F45C7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4F45C7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4F45C7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4F45C7" w:rsidRPr="00C83D0E" w:rsidRDefault="004F45C7" w:rsidP="004F45C7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4F45C7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 2018 году обучающиеся показали стабильно хорошие результаты ОГЭ. Увеличился общий средний балл по всем сдаваемым предметам</w:t>
            </w:r>
            <w:r w:rsidR="004F45C7" w:rsidRPr="00C83D0E">
              <w:rPr>
                <w:rFonts w:ascii="Times New Roman" w:eastAsia="Times New Roman" w:hAnsi="Times New Roman"/>
                <w:lang w:eastAsia="ru-RU"/>
              </w:rPr>
              <w:t xml:space="preserve">. 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Востребованность выпускников</w:t>
            </w:r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tbl>
            <w:tblPr>
              <w:tblW w:w="0" w:type="auto"/>
              <w:tblInd w:w="686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2"/>
              <w:gridCol w:w="723"/>
              <w:gridCol w:w="1255"/>
              <w:gridCol w:w="1255"/>
              <w:gridCol w:w="2054"/>
              <w:gridCol w:w="723"/>
              <w:gridCol w:w="1271"/>
              <w:gridCol w:w="2054"/>
              <w:gridCol w:w="1348"/>
              <w:gridCol w:w="1210"/>
            </w:tblGrid>
            <w:tr w:rsidR="00BC288B" w:rsidRPr="00C83D0E" w:rsidTr="00BC288B"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Год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выпуска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Основная школа</w:t>
                  </w:r>
                </w:p>
              </w:tc>
              <w:tc>
                <w:tcPr>
                  <w:tcW w:w="0" w:type="auto"/>
                  <w:gridSpan w:val="5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Средняя школа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Перешли в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10-й класс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Школы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Перешли в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10-й класс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другой ОО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Поступили в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профессиональную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Всего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Поступили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ВУЗ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Поступили в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профессиональную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ОО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Устроились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на работу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Пошли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на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срочную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службу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по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призыву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2017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2018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</w:tr>
            <w:tr w:rsidR="004F45C7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2019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4F45C7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4F45C7" w:rsidRPr="00C83D0E" w:rsidRDefault="00936383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Количество выпускников, поступающих в ВУЗ, стабильно растет по сравнению с общим количеством выпускников 11-го класса.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Оценка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функционирования внутренней системы оценки качества образования</w:t>
            </w:r>
            <w:proofErr w:type="gramEnd"/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 Школе утверждено </w:t>
            </w:r>
            <w:hyperlink r:id="rId19" w:anchor="/document/118/30289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положение о внутренней системе оценки качества образования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>. По итогам оценки качества образования в 201</w:t>
            </w:r>
            <w:r w:rsidR="00936383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 выявлено, что уровень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метапредметных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результатов соответствуют среднему уровню,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сформированность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личностных результатов выше среднего.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Согласно Положения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в школе проводятся все необходимые мероприятия по оценке качества образования в соответствующие сроки.</w:t>
            </w: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Оценка кадрового обеспечения</w:t>
            </w:r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На период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самообследования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в Школе работают 4</w:t>
            </w:r>
            <w:r w:rsidR="00936383" w:rsidRPr="00C83D0E">
              <w:rPr>
                <w:rFonts w:ascii="Times New Roman" w:eastAsia="Times New Roman" w:hAnsi="Times New Roman"/>
                <w:lang w:eastAsia="ru-RU"/>
              </w:rPr>
              <w:t>6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педагог</w:t>
            </w:r>
            <w:r w:rsidR="00936383" w:rsidRPr="00C83D0E">
              <w:rPr>
                <w:rFonts w:ascii="Times New Roman" w:eastAsia="Times New Roman" w:hAnsi="Times New Roman"/>
                <w:lang w:eastAsia="ru-RU"/>
              </w:rPr>
              <w:t>ов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, из них </w:t>
            </w:r>
            <w:r w:rsidR="00936383" w:rsidRPr="00C83D0E">
              <w:rPr>
                <w:rFonts w:ascii="Times New Roman" w:eastAsia="Times New Roman" w:hAnsi="Times New Roman"/>
                <w:lang w:eastAsia="ru-RU"/>
              </w:rPr>
              <w:t>10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– внутренних совместителей. Из них 4 человека имеет среднее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>специальное образование и  2 обучаются в педагогическом университете. В 201</w:t>
            </w:r>
            <w:r w:rsidR="001A475C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году аттестацию прошли </w:t>
            </w:r>
            <w:r w:rsidR="001A475C" w:rsidRPr="00C83D0E">
              <w:rPr>
                <w:rFonts w:ascii="Times New Roman" w:eastAsia="Times New Roman" w:hAnsi="Times New Roman"/>
                <w:lang w:eastAsia="ru-RU"/>
              </w:rPr>
              <w:t>7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человек – на первую квалификационную категорию, </w:t>
            </w:r>
            <w:r w:rsidR="001A475C" w:rsidRPr="00C83D0E">
              <w:rPr>
                <w:rFonts w:ascii="Times New Roman" w:eastAsia="Times New Roman" w:hAnsi="Times New Roman"/>
                <w:lang w:eastAsia="ru-RU"/>
              </w:rPr>
              <w:t>4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на высшую квалификационную категорию, </w:t>
            </w:r>
            <w:r w:rsidR="001A475C" w:rsidRPr="00C83D0E">
              <w:rPr>
                <w:rFonts w:ascii="Times New Roman" w:eastAsia="Times New Roman" w:hAnsi="Times New Roman"/>
                <w:lang w:eastAsia="ru-RU"/>
              </w:rPr>
              <w:t>2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человека на соответствие занимаемой должности.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 целях повышения качества образовательной деятельности в школе проводится целенаправленная кадровая политика, основная цель которой – обеспечение оптимального баланса процессов обновления и сохранения численного и качественного состава кадров в его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>развитии, в соответствии потребностями Школы и требованиями действующего законодательства. Основные принципы кадровой политики направлены: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на сохранение, укрепление и развитие кадрового потенциала;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создание квалифицированного коллектива, способного работать в современных условиях;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повышения уровня квалификации персонала.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>− образовательная деятельность в школе обеспечена квалифицированным профессиональным педагогическим составом;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в Школе создана устойчивая целевая кадровая система, в которой осуществляется подготовка новых кадров из числа собственных выпускников;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− кадровый потенциал Школы динамично развивается на основе целенаправленной работы по </w:t>
            </w:r>
            <w:hyperlink r:id="rId20" w:anchor="/document/16/4019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повышению квалификации педагогов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Оценка учебно-методического и библиотечно-информационного обеспечения</w:t>
            </w:r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Общая характеристика: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объем библиотечного фонда – 116</w:t>
            </w:r>
            <w:r w:rsidR="006D34DB">
              <w:rPr>
                <w:rFonts w:ascii="Times New Roman" w:eastAsia="Times New Roman" w:hAnsi="Times New Roman"/>
                <w:lang w:eastAsia="ru-RU"/>
              </w:rPr>
              <w:t>65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 единиц;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− </w:t>
            </w:r>
            <w:proofErr w:type="spellStart"/>
            <w:r w:rsidRPr="00C83D0E">
              <w:rPr>
                <w:rFonts w:ascii="Times New Roman" w:eastAsia="Times New Roman" w:hAnsi="Times New Roman"/>
                <w:lang w:eastAsia="ru-RU"/>
              </w:rPr>
              <w:t>книгообеспеченность</w:t>
            </w:r>
            <w:proofErr w:type="spell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– 100 процентов;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обращаемость – 9</w:t>
            </w:r>
            <w:r w:rsidR="006D34DB">
              <w:rPr>
                <w:rFonts w:ascii="Times New Roman" w:eastAsia="Times New Roman" w:hAnsi="Times New Roman"/>
                <w:lang w:eastAsia="ru-RU"/>
              </w:rPr>
              <w:t>340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единицы в год;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− объем учебного фонда – </w:t>
            </w:r>
            <w:r w:rsidR="006D34DB">
              <w:rPr>
                <w:rFonts w:ascii="Times New Roman" w:eastAsia="Times New Roman" w:hAnsi="Times New Roman"/>
                <w:lang w:eastAsia="ru-RU"/>
              </w:rPr>
              <w:t>8214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единиц.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Фонд библиотеки формируется за счет федерального бюджета.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Состав фонда и его использование: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tbl>
            <w:tblPr>
              <w:tblW w:w="0" w:type="auto"/>
              <w:jc w:val="center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3432"/>
              <w:gridCol w:w="2071"/>
              <w:gridCol w:w="2259"/>
            </w:tblGrid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№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Вид литературы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Количество единиц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 фонде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Сколько экземпляров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выдавалось за год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Учебная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6D34D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>8214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6D34D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  <w:r w:rsidR="006D34DB">
                    <w:rPr>
                      <w:rFonts w:ascii="Times New Roman" w:eastAsia="Times New Roman" w:hAnsi="Times New Roman"/>
                      <w:lang w:eastAsia="ru-RU"/>
                    </w:rPr>
                    <w:t>477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Педагогическая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865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6D34D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>650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Художественная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6D34D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813</w:t>
                  </w:r>
                  <w:r w:rsidR="006D34DB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6D34D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  <w:r w:rsidR="006D34DB">
                    <w:rPr>
                      <w:rFonts w:ascii="Times New Roman" w:eastAsia="Times New Roman" w:hAnsi="Times New Roman"/>
                      <w:lang w:eastAsia="ru-RU"/>
                    </w:rPr>
                    <w:t>620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Справочная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1664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6D34D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  <w:r w:rsidR="006D34DB">
                    <w:rPr>
                      <w:rFonts w:ascii="Times New Roman" w:eastAsia="Times New Roman" w:hAnsi="Times New Roman"/>
                      <w:lang w:eastAsia="ru-RU"/>
                    </w:rPr>
                    <w:t>23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Языковедение, литературоведение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6D34D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>68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Естественно-научная</w:t>
                  </w:r>
                  <w:proofErr w:type="gramEnd"/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1277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6D34D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>840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Техническая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1085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6D34D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lang w:eastAsia="ru-RU"/>
                    </w:rPr>
                    <w:t>540</w:t>
                  </w:r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Общественно-политическая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</w:tcPr>
                <w:p w:rsidR="00BC288B" w:rsidRPr="00C83D0E" w:rsidRDefault="00BC288B" w:rsidP="006D34D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</w:t>
                  </w:r>
                  <w:r w:rsidR="006D34DB">
                    <w:rPr>
                      <w:rFonts w:ascii="Times New Roman" w:eastAsia="Times New Roman" w:hAnsi="Times New Roman"/>
                      <w:lang w:eastAsia="ru-RU"/>
                    </w:rPr>
                    <w:t>38</w:t>
                  </w:r>
                  <w:bookmarkStart w:id="0" w:name="_GoBack"/>
                  <w:bookmarkEnd w:id="0"/>
                </w:p>
              </w:tc>
            </w:tr>
            <w:tr w:rsidR="00BC288B" w:rsidRPr="00C83D0E" w:rsidTr="00BC288B">
              <w:trPr>
                <w:jc w:val="center"/>
              </w:trPr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Фонд библиотеки соответствует требованиям ФГОС, учебники фонда входят в федеральный перечень, утвержденный </w:t>
            </w:r>
            <w:hyperlink r:id="rId21" w:anchor="/document/99/499087774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 xml:space="preserve">приказом </w:t>
              </w:r>
              <w:proofErr w:type="spellStart"/>
              <w:r w:rsidRPr="00C83D0E">
                <w:rPr>
                  <w:rFonts w:ascii="Times New Roman" w:eastAsia="Times New Roman" w:hAnsi="Times New Roman"/>
                  <w:lang w:eastAsia="ru-RU"/>
                </w:rPr>
                <w:t>Минобрнауки</w:t>
              </w:r>
              <w:proofErr w:type="spellEnd"/>
              <w:r w:rsidRPr="00C83D0E">
                <w:rPr>
                  <w:rFonts w:ascii="Times New Roman" w:eastAsia="Times New Roman" w:hAnsi="Times New Roman"/>
                  <w:lang w:eastAsia="ru-RU"/>
                </w:rPr>
                <w:t xml:space="preserve"> от 31.03.2014 № 253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В библиотеке имеются электронные образовательные ресурсы – 147 дисков. Мультимедийные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>средства (презентации, электронные энциклопедии, дидактические материалы) – у каждого педагога.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Средний уровень посещаемости библиотеки – 69 человек в день.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На официальном </w:t>
            </w:r>
            <w:hyperlink r:id="rId22" w:anchor="/document/16/2227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сайте школы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есть страница библиотеки с информацией о работе и проводимых мероприятиях </w:t>
            </w:r>
            <w:hyperlink r:id="rId23" w:anchor="/document/16/38785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>библиотеки Школы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>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Оснащенность библиотеки учебными пособиями достаточная. Отсутствует финансирование библиотеки на закупку периодических изданий  и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lastRenderedPageBreak/>
              <w:t>обновление фонда художественной литературы.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Оценка материально-технической базы</w:t>
            </w:r>
          </w:p>
          <w:p w:rsidR="00BC288B" w:rsidRPr="00C83D0E" w:rsidRDefault="00BC288B" w:rsidP="00BC288B">
            <w:pPr>
              <w:spacing w:after="0" w:line="240" w:lineRule="auto"/>
              <w:ind w:left="1429"/>
              <w:contextualSpacing/>
              <w:rPr>
                <w:rFonts w:ascii="Times New Roman" w:eastAsia="Times New Roman" w:hAnsi="Times New Roman"/>
                <w:lang w:eastAsia="ru-RU"/>
              </w:rPr>
            </w:pP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Материально-техническое обеспечение Школы позволяет реализовывать в полной мере образовательные программы.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В Школе оборудованы 33 учебных кабинета, 21 из них оснащен современной мультимедийной техникой, в том числе:</w:t>
            </w:r>
            <w:proofErr w:type="gramEnd"/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лаборатория по физике;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лаборатория по химии;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лаборатория по биологии;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два компьютерных класса;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столярная и слесарная мастерские;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− кабинет технологии для девочек;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− кабинет ОБЖ 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Оборудованы спортивный и актовый залы. На первом этаже </w:t>
            </w:r>
            <w:proofErr w:type="gramStart"/>
            <w:r w:rsidRPr="00C83D0E">
              <w:rPr>
                <w:rFonts w:ascii="Times New Roman" w:eastAsia="Times New Roman" w:hAnsi="Times New Roman"/>
                <w:lang w:eastAsia="ru-RU"/>
              </w:rPr>
              <w:t>оборудованы</w:t>
            </w:r>
            <w:proofErr w:type="gramEnd"/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столовая и пищеблок.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На территории Школы имеются: стадион, хоккейный корт, баскетбольная и волейбольная площадки, тренажерный уголок, полоса препятствий.  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Результаты анализа показателей деятельности организации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Данные приведены по состоянию на 29 декабря 201</w:t>
            </w:r>
            <w:r w:rsidR="004B0059" w:rsidRPr="00C83D0E">
              <w:rPr>
                <w:rFonts w:ascii="Times New Roman" w:eastAsia="Times New Roman" w:hAnsi="Times New Roman"/>
                <w:lang w:eastAsia="ru-RU"/>
              </w:rPr>
              <w:t>9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года.</w:t>
            </w:r>
          </w:p>
          <w:tbl>
            <w:tblPr>
              <w:tblW w:w="0" w:type="auto"/>
              <w:tblInd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390"/>
              <w:gridCol w:w="2036"/>
              <w:gridCol w:w="1390"/>
            </w:tblGrid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Показатели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Количество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Образовательная деятельность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Общая численность учащихся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1A475C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  <w:r w:rsidR="001A475C" w:rsidRPr="00C83D0E">
                    <w:rPr>
                      <w:rFonts w:ascii="Times New Roman" w:eastAsia="Times New Roman" w:hAnsi="Times New Roman"/>
                      <w:lang w:eastAsia="ru-RU"/>
                    </w:rPr>
                    <w:t>93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учащихся по образовательной программе начального общего образования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1A475C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  <w:r w:rsidR="001A475C" w:rsidRPr="00C83D0E">
                    <w:rPr>
                      <w:rFonts w:ascii="Times New Roman" w:eastAsia="Times New Roman" w:hAnsi="Times New Roman"/>
                      <w:lang w:eastAsia="ru-RU"/>
                    </w:rPr>
                    <w:t>52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учащихся по образовательной программе основного общего образования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1A475C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293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учащихся по образовательной программе среднего общего образования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1A475C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1A475C"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учащихся, успевающих на «4» и «5» по результатам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 xml:space="preserve">промежуточной аттестации, от общей численности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обучающихся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4B0059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297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50,68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Средний балл ГИА выпускников 9 класса по русскому языку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4,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Средний балл ГИА выпускников 9 класса по математике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3,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Средний балл ЕГЭ выпускников 11 класса по русскому языку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4B0059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74,7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Средний балл ЕГЭ выпускников 11 класса по математике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балл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4B0059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65,15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Численность (удельный вес) выпускников 9 класса, которые получили неудовлетворительные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результаты на ГИА по русскому языку, от общей 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выпускников 9 класса, которые получили неудовлетворительные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результаты на ГИА по математике, от общей 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(0 %)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выпускников 11 класса, которые получили результаты ниже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 xml:space="preserve">установленного минимального количества баллов ЕГЭ по русскому языку,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общей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численности 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выпускников 11 класса, которые получили результаты ниже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установленного минимального количества баллов ЕГЭ по математике, от общей численности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выпускников 9 класса, которые не получили аттестаты,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общей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выпускников 11 класса, которые не получили аттестаты,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общей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численности 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выпускников 9 класса, которые получили аттестаты с отличием,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общей численности выпускников 9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4B0059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8,5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выпускников 11 класса, которые получили аттестаты с отличием,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общей численности выпускников 11 класса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4B0059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21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учащихся, которые принимали участие в олимпиадах, смотрах,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конкурсах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,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50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50,5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rPr>
                <w:trHeight w:val="1342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Численность (удельный вес) учащихся – победителей и призеров олимпиад, смотров, конкурсов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 xml:space="preserve">от общей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численности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обучающихся, в том числе: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регионального уровня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4B0059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39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5,6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федерального уровня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4B0059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1,1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международного уровня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 (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0,7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учащихся по программам с углубленным изучением отдельных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учебных предметов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260 (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37,5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учащихся по программам профильного обучения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общей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 xml:space="preserve">численности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обучающихся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4B005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(6,</w:t>
                  </w:r>
                  <w:r w:rsidR="004B0059" w:rsidRPr="00C83D0E">
                    <w:rPr>
                      <w:rFonts w:ascii="Times New Roman" w:eastAsia="Times New Roman" w:hAnsi="Times New Roman"/>
                      <w:lang w:eastAsia="ru-RU"/>
                    </w:rPr>
                    <w:t>9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учащихся по программам с применением дистанционных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образовательных технологий, электронного обучения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учащихся в рамках сетевой формы реализации образовательных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программ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 (0%)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Общая численность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педработников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, в том числе количество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педработников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с высшим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9B68D8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9B68D8"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высшим педагогическим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9B68D8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  <w:r w:rsidR="009B68D8" w:rsidRPr="00C83D0E">
                    <w:rPr>
                      <w:rFonts w:ascii="Times New Roman" w:eastAsia="Times New Roman" w:hAnsi="Times New Roman"/>
                      <w:lang w:eastAsia="ru-RU"/>
                    </w:rPr>
                    <w:t>4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средним профессиональным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9B68D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средним профессиональным педагогическим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9B68D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педработников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с квалификационной категорией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от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общей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численности таких работников, в том числе: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>− с высшей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9B68D8" w:rsidP="009B68D8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8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18,8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первой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9B68D8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="009B68D8"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="009B68D8" w:rsidRPr="00C83D0E">
                    <w:rPr>
                      <w:rFonts w:ascii="Times New Roman" w:eastAsia="Times New Roman" w:hAnsi="Times New Roman"/>
                      <w:lang w:eastAsia="ru-RU"/>
                    </w:rPr>
                    <w:t>50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педработников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от общей численности таких работников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педагогическим стажем: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до 5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9B68D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11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="00130FE9" w:rsidRPr="00C83D0E">
                    <w:rPr>
                      <w:rFonts w:ascii="Times New Roman" w:eastAsia="Times New Roman" w:hAnsi="Times New Roman"/>
                      <w:lang w:eastAsia="ru-RU"/>
                    </w:rPr>
                    <w:t>25%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>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больше 30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12 (27,27%)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Численность (удельный вес)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педработников</w:t>
                  </w:r>
                  <w:proofErr w:type="spell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от общей численности таких работников в возрасте: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до 30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130FE9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15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(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34%</w:t>
                  </w:r>
                  <w:r w:rsidR="00BC288B" w:rsidRPr="00C83D0E">
                    <w:rPr>
                      <w:rFonts w:ascii="Times New Roman" w:eastAsia="Times New Roman" w:hAnsi="Times New Roman"/>
                      <w:lang w:eastAsia="ru-RU"/>
                    </w:rPr>
                    <w:t xml:space="preserve"> 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от 55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5 (11,36 %)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педагогических и административно-хозяйственных работников,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 xml:space="preserve">которые за последние 5 лет прошли повышение квалификации или 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профессиональную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переподготовку, от общей численности таких работников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44 (100 %)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педагогических и административно-хозяйственных работников,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которые прошли повышение квалификации по применению в образовательном процессе ФГОС, </w:t>
                  </w:r>
                </w:p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от общей численности таких работников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44(100%)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gridSpan w:val="3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Инфраструктура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Количество компьютеров в расчете на одного учащегося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единиц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130FE9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0,16</w:t>
                  </w:r>
                  <w:r w:rsidR="00130FE9" w:rsidRPr="00C83D0E">
                    <w:rPr>
                      <w:rFonts w:ascii="Times New Roman" w:eastAsia="Times New Roman" w:hAnsi="Times New Roman"/>
                      <w:lang w:eastAsia="ru-RU"/>
                    </w:rPr>
                    <w:t>2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Количество экземпляров учебной и учебно-методической литературы от общего количества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единиц библиотечного фонда в расчете на одного учащегося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единиц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12,25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Наличие в школе системы электронного документооборота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да/нет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нет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Наличие в школе читального зала библиотеки, в том числе наличие в ней: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да/нет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рабочих мест для работы на компьютере или ноутбуке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lastRenderedPageBreak/>
                    <w:t xml:space="preserve">− </w:t>
                  </w:r>
                  <w:proofErr w:type="spell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медиатеки</w:t>
                  </w:r>
                  <w:proofErr w:type="spellEnd"/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сре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дств ск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анирования и распознавания текста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выхода в интернет с библиотечных компьютеров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− системы контроля распечатки материалов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да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Численность (удельный вес) обучающихся, которые могут пользоваться широкополосным 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br/>
                    <w:t>интернетом не менее 2 Мб/</w:t>
                  </w:r>
                  <w:proofErr w:type="gramStart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с</w:t>
                  </w:r>
                  <w:proofErr w:type="gramEnd"/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, от общей численности обучающихся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человек (процент)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9B68D8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</w:t>
                  </w:r>
                  <w:r w:rsidR="009B68D8" w:rsidRPr="00C83D0E">
                    <w:rPr>
                      <w:rFonts w:ascii="Times New Roman" w:eastAsia="Times New Roman" w:hAnsi="Times New Roman"/>
                      <w:lang w:eastAsia="ru-RU"/>
                    </w:rPr>
                    <w:t>93</w:t>
                  </w: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(100%)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Общая площадь помещений для образовательного процесса в расчете на одного обучающегося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кв. м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hideMark/>
                </w:tcPr>
                <w:p w:rsidR="00BC288B" w:rsidRPr="00C83D0E" w:rsidRDefault="009B68D8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  <w:r w:rsidRPr="00C83D0E">
                    <w:rPr>
                      <w:rFonts w:ascii="Times New Roman" w:eastAsia="Times New Roman" w:hAnsi="Times New Roman"/>
                      <w:lang w:eastAsia="ru-RU"/>
                    </w:rPr>
                    <w:t>6,9</w:t>
                  </w:r>
                </w:p>
              </w:tc>
            </w:tr>
            <w:tr w:rsidR="00BC288B" w:rsidRPr="00C83D0E" w:rsidTr="00BC288B"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0" w:type="auto"/>
                  <w:tcMar>
                    <w:top w:w="90" w:type="dxa"/>
                    <w:left w:w="90" w:type="dxa"/>
                    <w:bottom w:w="90" w:type="dxa"/>
                    <w:right w:w="90" w:type="dxa"/>
                  </w:tcMar>
                  <w:vAlign w:val="center"/>
                  <w:hideMark/>
                </w:tcPr>
                <w:p w:rsidR="00BC288B" w:rsidRPr="00C83D0E" w:rsidRDefault="00BC288B" w:rsidP="00BC288B">
                  <w:pPr>
                    <w:spacing w:after="0" w:line="240" w:lineRule="auto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Анализ показателей указывает на то, что Школа имеет достаточную инфраструктуру, которая соответствует требованиям </w:t>
            </w:r>
            <w:hyperlink r:id="rId24" w:anchor="/document/99/902256369/" w:history="1">
              <w:r w:rsidRPr="00C83D0E">
                <w:rPr>
                  <w:rFonts w:ascii="Times New Roman" w:eastAsia="Times New Roman" w:hAnsi="Times New Roman"/>
                  <w:lang w:eastAsia="ru-RU"/>
                </w:rPr>
                <w:t xml:space="preserve">СанПиН </w:t>
              </w:r>
              <w:r w:rsidRPr="00C83D0E">
                <w:rPr>
                  <w:rFonts w:ascii="Times New Roman" w:eastAsia="Times New Roman" w:hAnsi="Times New Roman"/>
                  <w:lang w:eastAsia="ru-RU"/>
                </w:rPr>
                <w:br/>
                <w:t>2.4.2.2821-10</w:t>
              </w:r>
            </w:hyperlink>
            <w:r w:rsidRPr="00C83D0E">
              <w:rPr>
                <w:rFonts w:ascii="Times New Roman" w:eastAsia="Times New Roman" w:hAnsi="Times New Roman"/>
                <w:lang w:eastAsia="ru-RU"/>
              </w:rPr>
              <w:t xml:space="preserve"> «Санитарно-эпидемиологические требования к условиям и организации обучения в общеобразовательных учреждениях» и </w:t>
            </w:r>
            <w:r w:rsidRPr="00C83D0E">
              <w:rPr>
                <w:rFonts w:ascii="Times New Roman" w:eastAsia="Times New Roman" w:hAnsi="Times New Roman"/>
                <w:lang w:eastAsia="ru-RU"/>
              </w:rPr>
              <w:br/>
              <w:t>позволяет реализовывать образовательные программы в полном объеме в соответствии с ФГОС общего образования.</w:t>
            </w:r>
          </w:p>
          <w:p w:rsidR="00BC288B" w:rsidRPr="00C83D0E" w:rsidRDefault="00BC288B" w:rsidP="00BC288B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C83D0E">
              <w:rPr>
                <w:rFonts w:ascii="Times New Roman" w:eastAsia="Times New Roman" w:hAnsi="Times New Roman"/>
                <w:lang w:eastAsia="ru-RU"/>
              </w:rPr>
      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      </w:r>
          </w:p>
        </w:tc>
      </w:tr>
    </w:tbl>
    <w:p w:rsidR="00BC288B" w:rsidRPr="00BC288B" w:rsidRDefault="00BC288B" w:rsidP="00BC288B"/>
    <w:p w:rsidR="00C34108" w:rsidRDefault="00C34108"/>
    <w:sectPr w:rsidR="00C34108" w:rsidSect="00BC288B">
      <w:pgSz w:w="16838" w:h="11906" w:orient="landscape"/>
      <w:pgMar w:top="993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484E"/>
    <w:multiLevelType w:val="hybridMultilevel"/>
    <w:tmpl w:val="0CB0334C"/>
    <w:lvl w:ilvl="0" w:tplc="21D2CDE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18C7E3C"/>
    <w:multiLevelType w:val="hybridMultilevel"/>
    <w:tmpl w:val="4B4E869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8103B8"/>
    <w:multiLevelType w:val="hybridMultilevel"/>
    <w:tmpl w:val="6A84A98C"/>
    <w:lvl w:ilvl="0" w:tplc="815E751E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0BD065A0"/>
    <w:multiLevelType w:val="hybridMultilevel"/>
    <w:tmpl w:val="8B2A669A"/>
    <w:lvl w:ilvl="0" w:tplc="F3909D18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0C293775"/>
    <w:multiLevelType w:val="hybridMultilevel"/>
    <w:tmpl w:val="844616E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">
    <w:nsid w:val="22361BC5"/>
    <w:multiLevelType w:val="hybridMultilevel"/>
    <w:tmpl w:val="8EF843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625FF9"/>
    <w:multiLevelType w:val="hybridMultilevel"/>
    <w:tmpl w:val="0B60A8FE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>
    <w:nsid w:val="338A0061"/>
    <w:multiLevelType w:val="hybridMultilevel"/>
    <w:tmpl w:val="8FB817AC"/>
    <w:lvl w:ilvl="0" w:tplc="481E1BE6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>
    <w:nsid w:val="435B3DDD"/>
    <w:multiLevelType w:val="hybridMultilevel"/>
    <w:tmpl w:val="106EB78C"/>
    <w:lvl w:ilvl="0" w:tplc="5D32E292">
      <w:start w:val="1"/>
      <w:numFmt w:val="bullet"/>
      <w:lvlText w:val=""/>
      <w:lvlJc w:val="left"/>
      <w:pPr>
        <w:ind w:left="1429" w:hanging="360"/>
      </w:pPr>
      <w:rPr>
        <w:rFonts w:ascii="Wingdings" w:hAnsi="Wingdings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4861D54"/>
    <w:multiLevelType w:val="hybridMultilevel"/>
    <w:tmpl w:val="C4E28CB2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>
    <w:nsid w:val="4703720D"/>
    <w:multiLevelType w:val="hybridMultilevel"/>
    <w:tmpl w:val="59BE5E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11A232B"/>
    <w:multiLevelType w:val="hybridMultilevel"/>
    <w:tmpl w:val="E2B6E374"/>
    <w:lvl w:ilvl="0" w:tplc="0419000F">
      <w:start w:val="1"/>
      <w:numFmt w:val="decimal"/>
      <w:lvlText w:val="%1."/>
      <w:lvlJc w:val="left"/>
      <w:pPr>
        <w:ind w:left="162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34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06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78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50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22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94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66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382" w:hanging="180"/>
      </w:pPr>
      <w:rPr>
        <w:rFonts w:cs="Times New Roman"/>
      </w:rPr>
    </w:lvl>
  </w:abstractNum>
  <w:abstractNum w:abstractNumId="12">
    <w:nsid w:val="64194D25"/>
    <w:multiLevelType w:val="hybridMultilevel"/>
    <w:tmpl w:val="75A6E0C4"/>
    <w:lvl w:ilvl="0" w:tplc="0419000D">
      <w:start w:val="1"/>
      <w:numFmt w:val="bullet"/>
      <w:lvlText w:val=""/>
      <w:lvlJc w:val="left"/>
      <w:pPr>
        <w:ind w:left="149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3">
    <w:nsid w:val="64997ED1"/>
    <w:multiLevelType w:val="hybridMultilevel"/>
    <w:tmpl w:val="DD08250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6D25B5F"/>
    <w:multiLevelType w:val="hybridMultilevel"/>
    <w:tmpl w:val="FBB60CBE"/>
    <w:lvl w:ilvl="0" w:tplc="FBB27716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5">
    <w:nsid w:val="6D871C53"/>
    <w:multiLevelType w:val="hybridMultilevel"/>
    <w:tmpl w:val="D6C6E2F6"/>
    <w:lvl w:ilvl="0" w:tplc="E300FDB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6A26CA5"/>
    <w:multiLevelType w:val="hybridMultilevel"/>
    <w:tmpl w:val="B760844E"/>
    <w:lvl w:ilvl="0" w:tplc="75EAEEEE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7">
    <w:nsid w:val="781458BB"/>
    <w:multiLevelType w:val="hybridMultilevel"/>
    <w:tmpl w:val="5DEC902C"/>
    <w:lvl w:ilvl="0" w:tplc="3F8EA4F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8">
    <w:nsid w:val="7FE01B35"/>
    <w:multiLevelType w:val="hybridMultilevel"/>
    <w:tmpl w:val="6150D704"/>
    <w:lvl w:ilvl="0" w:tplc="561E20D8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15"/>
  </w:num>
  <w:num w:numId="2">
    <w:abstractNumId w:val="3"/>
  </w:num>
  <w:num w:numId="3">
    <w:abstractNumId w:val="6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8"/>
  </w:num>
  <w:num w:numId="7">
    <w:abstractNumId w:val="5"/>
  </w:num>
  <w:num w:numId="8">
    <w:abstractNumId w:val="13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12"/>
  </w:num>
  <w:num w:numId="14">
    <w:abstractNumId w:val="11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4"/>
  </w:num>
  <w:num w:numId="22">
    <w:abstractNumId w:val="17"/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0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</w:num>
  <w:num w:numId="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29"/>
    <w:rsid w:val="00130FE9"/>
    <w:rsid w:val="001A475C"/>
    <w:rsid w:val="002A6CCA"/>
    <w:rsid w:val="00421FCF"/>
    <w:rsid w:val="0043256F"/>
    <w:rsid w:val="004B0059"/>
    <w:rsid w:val="004F45C7"/>
    <w:rsid w:val="006D34DB"/>
    <w:rsid w:val="00806D1C"/>
    <w:rsid w:val="008E52AE"/>
    <w:rsid w:val="009345B5"/>
    <w:rsid w:val="00936383"/>
    <w:rsid w:val="00955429"/>
    <w:rsid w:val="009B68D8"/>
    <w:rsid w:val="00B125E2"/>
    <w:rsid w:val="00BC288B"/>
    <w:rsid w:val="00C163C9"/>
    <w:rsid w:val="00C34108"/>
    <w:rsid w:val="00C81097"/>
    <w:rsid w:val="00C83D0E"/>
    <w:rsid w:val="00D27F6D"/>
    <w:rsid w:val="00DE4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30FE9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288B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0FE9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0FE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C288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30FE9"/>
    <w:rPr>
      <w:rFonts w:ascii="Cambria" w:eastAsia="Times New Roman" w:hAnsi="Cambria" w:cs="Times New Roman"/>
      <w:b/>
      <w:bCs/>
      <w:color w:val="4F81BD"/>
    </w:rPr>
  </w:style>
  <w:style w:type="paragraph" w:styleId="HTML">
    <w:name w:val="HTML Preformatted"/>
    <w:basedOn w:val="a"/>
    <w:link w:val="HTML0"/>
    <w:uiPriority w:val="99"/>
    <w:unhideWhenUsed/>
    <w:rsid w:val="00BC28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BC288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BC2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C288B"/>
  </w:style>
  <w:style w:type="character" w:customStyle="1" w:styleId="sfwc">
    <w:name w:val="sfwc"/>
    <w:basedOn w:val="a0"/>
    <w:rsid w:val="00BC288B"/>
  </w:style>
  <w:style w:type="character" w:styleId="a4">
    <w:name w:val="Hyperlink"/>
    <w:basedOn w:val="a0"/>
    <w:uiPriority w:val="99"/>
    <w:unhideWhenUsed/>
    <w:rsid w:val="00BC288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C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288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C288B"/>
    <w:pPr>
      <w:ind w:left="720"/>
      <w:contextualSpacing/>
    </w:pPr>
  </w:style>
  <w:style w:type="paragraph" w:customStyle="1" w:styleId="c3">
    <w:name w:val="c3"/>
    <w:basedOn w:val="a"/>
    <w:rsid w:val="00BC288B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C288B"/>
  </w:style>
  <w:style w:type="character" w:customStyle="1" w:styleId="apple-converted-space">
    <w:name w:val="apple-converted-space"/>
    <w:rsid w:val="00BC288B"/>
  </w:style>
  <w:style w:type="paragraph" w:customStyle="1" w:styleId="c1">
    <w:name w:val="c1"/>
    <w:basedOn w:val="a"/>
    <w:rsid w:val="00BC2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BC288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ody Text"/>
    <w:basedOn w:val="a"/>
    <w:link w:val="aa"/>
    <w:unhideWhenUsed/>
    <w:rsid w:val="00BC288B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BC288B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styleId="ab">
    <w:name w:val="Strong"/>
    <w:basedOn w:val="a0"/>
    <w:uiPriority w:val="22"/>
    <w:qFormat/>
    <w:rsid w:val="00BC288B"/>
    <w:rPr>
      <w:b/>
      <w:bCs/>
    </w:rPr>
  </w:style>
  <w:style w:type="table" w:styleId="ac">
    <w:name w:val="Table Grid"/>
    <w:basedOn w:val="a1"/>
    <w:uiPriority w:val="59"/>
    <w:rsid w:val="00130FE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30FE9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C288B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0FE9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0FE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C288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130FE9"/>
    <w:rPr>
      <w:rFonts w:ascii="Cambria" w:eastAsia="Times New Roman" w:hAnsi="Cambria" w:cs="Times New Roman"/>
      <w:b/>
      <w:bCs/>
      <w:color w:val="4F81BD"/>
    </w:rPr>
  </w:style>
  <w:style w:type="paragraph" w:styleId="HTML">
    <w:name w:val="HTML Preformatted"/>
    <w:basedOn w:val="a"/>
    <w:link w:val="HTML0"/>
    <w:uiPriority w:val="99"/>
    <w:unhideWhenUsed/>
    <w:rsid w:val="00BC28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BC288B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BC2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C288B"/>
  </w:style>
  <w:style w:type="character" w:customStyle="1" w:styleId="sfwc">
    <w:name w:val="sfwc"/>
    <w:basedOn w:val="a0"/>
    <w:rsid w:val="00BC288B"/>
  </w:style>
  <w:style w:type="character" w:styleId="a4">
    <w:name w:val="Hyperlink"/>
    <w:basedOn w:val="a0"/>
    <w:uiPriority w:val="99"/>
    <w:unhideWhenUsed/>
    <w:rsid w:val="00BC288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C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288B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C288B"/>
    <w:pPr>
      <w:ind w:left="720"/>
      <w:contextualSpacing/>
    </w:pPr>
  </w:style>
  <w:style w:type="paragraph" w:customStyle="1" w:styleId="c3">
    <w:name w:val="c3"/>
    <w:basedOn w:val="a"/>
    <w:rsid w:val="00BC288B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C288B"/>
  </w:style>
  <w:style w:type="character" w:customStyle="1" w:styleId="apple-converted-space">
    <w:name w:val="apple-converted-space"/>
    <w:rsid w:val="00BC288B"/>
  </w:style>
  <w:style w:type="paragraph" w:customStyle="1" w:styleId="c1">
    <w:name w:val="c1"/>
    <w:basedOn w:val="a"/>
    <w:rsid w:val="00BC28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BC288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ody Text"/>
    <w:basedOn w:val="a"/>
    <w:link w:val="aa"/>
    <w:unhideWhenUsed/>
    <w:rsid w:val="00BC288B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BC288B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styleId="ab">
    <w:name w:val="Strong"/>
    <w:basedOn w:val="a0"/>
    <w:uiPriority w:val="22"/>
    <w:qFormat/>
    <w:rsid w:val="00BC288B"/>
    <w:rPr>
      <w:b/>
      <w:bCs/>
    </w:rPr>
  </w:style>
  <w:style w:type="table" w:styleId="ac">
    <w:name w:val="Table Grid"/>
    <w:basedOn w:val="a1"/>
    <w:uiPriority w:val="59"/>
    <w:rsid w:val="00130FE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1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chart" Target="charts/chart1.xml"/><Relationship Id="rId18" Type="http://schemas.openxmlformats.org/officeDocument/2006/relationships/chart" Target="charts/chart6.xm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vip.1obraz.ru/" TargetMode="External"/><Relationship Id="rId7" Type="http://schemas.openxmlformats.org/officeDocument/2006/relationships/hyperlink" Target="http://vip.1obraz.ru/" TargetMode="External"/><Relationship Id="rId12" Type="http://schemas.openxmlformats.org/officeDocument/2006/relationships/hyperlink" Target="http://s_184.edu54.ru/p25aa1.html" TargetMode="External"/><Relationship Id="rId17" Type="http://schemas.openxmlformats.org/officeDocument/2006/relationships/chart" Target="charts/chart5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hart" Target="charts/chart4.xml"/><Relationship Id="rId20" Type="http://schemas.openxmlformats.org/officeDocument/2006/relationships/hyperlink" Target="http://vip.1obraz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vip.1obraz.ru/" TargetMode="External"/><Relationship Id="rId24" Type="http://schemas.openxmlformats.org/officeDocument/2006/relationships/hyperlink" Target="http://vip.1obraz.ru/" TargetMode="External"/><Relationship Id="rId5" Type="http://schemas.openxmlformats.org/officeDocument/2006/relationships/settings" Target="settings.xml"/><Relationship Id="rId15" Type="http://schemas.openxmlformats.org/officeDocument/2006/relationships/chart" Target="charts/chart3.xml"/><Relationship Id="rId23" Type="http://schemas.openxmlformats.org/officeDocument/2006/relationships/hyperlink" Target="http://vip.1obraz.ru/" TargetMode="External"/><Relationship Id="rId10" Type="http://schemas.openxmlformats.org/officeDocument/2006/relationships/hyperlink" Target="http://vip.1obraz.ru/" TargetMode="External"/><Relationship Id="rId19" Type="http://schemas.openxmlformats.org/officeDocument/2006/relationships/hyperlink" Target="http://vip.1obraz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ip.1obraz.ru/" TargetMode="External"/><Relationship Id="rId14" Type="http://schemas.openxmlformats.org/officeDocument/2006/relationships/chart" Target="charts/chart2.xml"/><Relationship Id="rId22" Type="http://schemas.openxmlformats.org/officeDocument/2006/relationships/hyperlink" Target="http://vip.1obraz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6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6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7.3267326732673263E-2"/>
          <c:y val="4.5248868778280542E-2"/>
          <c:w val="0.59009900990099007"/>
          <c:h val="0.7918552036199094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2014-2015 учебный год</c:v>
                </c:pt>
              </c:strCache>
            </c:strRef>
          </c:tx>
          <c:spPr>
            <a:solidFill>
              <a:srgbClr val="9999FF"/>
            </a:solidFill>
            <a:ln w="1261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39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2015-2016 учебный год</c:v>
                </c:pt>
              </c:strCache>
            </c:strRef>
          </c:tx>
          <c:spPr>
            <a:solidFill>
              <a:srgbClr val="993366"/>
            </a:solidFill>
            <a:ln w="1261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112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2016-2017 учебный год</c:v>
                </c:pt>
              </c:strCache>
            </c:strRef>
          </c:tx>
          <c:spPr>
            <a:solidFill>
              <a:srgbClr val="FFFFCC"/>
            </a:solidFill>
            <a:ln w="1261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226</c:v>
                </c:pt>
              </c:numCache>
            </c:numRef>
          </c:val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2017-2018 учебный год</c:v>
                </c:pt>
              </c:strCache>
            </c:strRef>
          </c:tx>
          <c:spPr>
            <a:solidFill>
              <a:srgbClr val="CCFFFF"/>
            </a:solidFill>
            <a:ln w="1261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Sheet1!$B$5:$B$5</c:f>
              <c:numCache>
                <c:formatCode>General</c:formatCode>
                <c:ptCount val="1"/>
                <c:pt idx="0">
                  <c:v>129</c:v>
                </c:pt>
              </c:numCache>
            </c:numRef>
          </c:val>
        </c:ser>
        <c:ser>
          <c:idx val="4"/>
          <c:order val="4"/>
          <c:tx>
            <c:strRef>
              <c:f>Sheet1!$A$6</c:f>
              <c:strCache>
                <c:ptCount val="1"/>
                <c:pt idx="0">
                  <c:v>2018-2019 учебный год</c:v>
                </c:pt>
              </c:strCache>
            </c:strRef>
          </c:tx>
          <c:spPr>
            <a:solidFill>
              <a:srgbClr val="660066"/>
            </a:solidFill>
            <a:ln w="12615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награды</c:v>
                </c:pt>
              </c:strCache>
            </c:strRef>
          </c:cat>
          <c:val>
            <c:numRef>
              <c:f>Sheet1!$B$6:$B$6</c:f>
              <c:numCache>
                <c:formatCode>General</c:formatCode>
                <c:ptCount val="1"/>
                <c:pt idx="0">
                  <c:v>143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73937280"/>
        <c:axId val="73938816"/>
        <c:axId val="0"/>
      </c:bar3DChart>
      <c:catAx>
        <c:axId val="7393728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68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393881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73938816"/>
        <c:scaling>
          <c:orientation val="minMax"/>
        </c:scaling>
        <c:delete val="0"/>
        <c:axPos val="l"/>
        <c:majorGridlines>
          <c:spPr>
            <a:ln w="315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68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3937280"/>
        <c:crosses val="autoZero"/>
        <c:crossBetween val="between"/>
      </c:valAx>
      <c:spPr>
        <a:noFill/>
        <a:ln w="25230">
          <a:noFill/>
        </a:ln>
      </c:spPr>
    </c:plotArea>
    <c:legend>
      <c:legendPos val="r"/>
      <c:layout>
        <c:manualLayout>
          <c:xMode val="edge"/>
          <c:yMode val="edge"/>
          <c:x val="0.6851485148514852"/>
          <c:y val="0.26244343891402716"/>
          <c:w val="0.30693069306930693"/>
          <c:h val="0.47963800904977377"/>
        </c:manualLayout>
      </c:layout>
      <c:overlay val="0"/>
      <c:spPr>
        <a:noFill/>
        <a:ln w="3154">
          <a:solidFill>
            <a:srgbClr val="000000"/>
          </a:solidFill>
          <a:prstDash val="solid"/>
        </a:ln>
      </c:spPr>
      <c:txPr>
        <a:bodyPr/>
        <a:lstStyle/>
        <a:p>
          <a:pPr>
            <a:defRPr sz="889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68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56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069418386491557"/>
          <c:y val="3.515625E-2"/>
          <c:w val="0.70356472795497182"/>
          <c:h val="0.804687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2016-2017</c:v>
                </c:pt>
              </c:strCache>
            </c:strRef>
          </c:tx>
          <c:spPr>
            <a:solidFill>
              <a:srgbClr val="9999FF"/>
            </a:solidFill>
            <a:ln w="12634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Охват спортивными кружками и секциями</c:v>
                </c:pt>
              </c:strCache>
            </c:strRef>
          </c:cat>
          <c:val>
            <c:numRef>
              <c:f>Sheet1!$B$2:$B$2</c:f>
              <c:numCache>
                <c:formatCode>0.00%</c:formatCode>
                <c:ptCount val="1"/>
                <c:pt idx="0">
                  <c:v>0.373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2017-2018</c:v>
                </c:pt>
              </c:strCache>
            </c:strRef>
          </c:tx>
          <c:spPr>
            <a:solidFill>
              <a:srgbClr val="993366"/>
            </a:solidFill>
            <a:ln w="12634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Охват спортивными кружками и секциями</c:v>
                </c:pt>
              </c:strCache>
            </c:strRef>
          </c:cat>
          <c:val>
            <c:numRef>
              <c:f>Sheet1!$B$3:$B$3</c:f>
              <c:numCache>
                <c:formatCode>0.00%</c:formatCode>
                <c:ptCount val="1"/>
                <c:pt idx="0">
                  <c:v>0.3589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2018-2019</c:v>
                </c:pt>
              </c:strCache>
            </c:strRef>
          </c:tx>
          <c:spPr>
            <a:solidFill>
              <a:srgbClr val="FFFFCC"/>
            </a:solidFill>
            <a:ln w="12634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Sheet1!$B$1:$B$1</c:f>
              <c:strCache>
                <c:ptCount val="1"/>
                <c:pt idx="0">
                  <c:v>Охват спортивными кружками и секциями</c:v>
                </c:pt>
              </c:strCache>
            </c:strRef>
          </c:cat>
          <c:val>
            <c:numRef>
              <c:f>Sheet1!$B$4:$B$4</c:f>
              <c:numCache>
                <c:formatCode>0.00%</c:formatCode>
                <c:ptCount val="1"/>
                <c:pt idx="0">
                  <c:v>0.21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73981312"/>
        <c:axId val="73983104"/>
        <c:axId val="0"/>
      </c:bar3DChart>
      <c:catAx>
        <c:axId val="7398131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398310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73983104"/>
        <c:scaling>
          <c:orientation val="minMax"/>
        </c:scaling>
        <c:delete val="0"/>
        <c:axPos val="l"/>
        <c:majorGridlines>
          <c:spPr>
            <a:ln w="3159">
              <a:solidFill>
                <a:srgbClr val="000000"/>
              </a:solidFill>
              <a:prstDash val="solid"/>
            </a:ln>
          </c:spPr>
        </c:majorGridlines>
        <c:numFmt formatCode="0.00%" sourceLinked="1"/>
        <c:majorTickMark val="out"/>
        <c:minorTickMark val="none"/>
        <c:tickLblPos val="nextTo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73981312"/>
        <c:crosses val="autoZero"/>
        <c:crossBetween val="between"/>
      </c:valAx>
      <c:spPr>
        <a:noFill/>
        <a:ln w="25269">
          <a:noFill/>
        </a:ln>
      </c:spPr>
    </c:plotArea>
    <c:legend>
      <c:legendPos val="r"/>
      <c:layout>
        <c:manualLayout>
          <c:xMode val="edge"/>
          <c:yMode val="edge"/>
          <c:x val="0.83489681050656661"/>
          <c:y val="0.36328125"/>
          <c:w val="0.1575984990619137"/>
          <c:h val="0.2734375"/>
        </c:manualLayout>
      </c:layout>
      <c:overlay val="0"/>
      <c:spPr>
        <a:noFill/>
        <a:ln w="3159">
          <a:solidFill>
            <a:srgbClr val="000000"/>
          </a:solidFill>
          <a:prstDash val="solid"/>
        </a:ln>
      </c:spPr>
      <c:txPr>
        <a:bodyPr/>
        <a:lstStyle/>
        <a:p>
          <a:pPr>
            <a:defRPr sz="103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1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35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845511482254697E-2"/>
          <c:y val="9.1503267973856203E-2"/>
          <c:w val="0.76617954070981209"/>
          <c:h val="0.6862745098039215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2016-2017</c:v>
                </c:pt>
              </c:strCache>
            </c:strRef>
          </c:tx>
          <c:spPr>
            <a:solidFill>
              <a:srgbClr val="9999FF"/>
            </a:solidFill>
            <a:ln w="1268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ПДН</c:v>
                </c:pt>
                <c:pt idx="1">
                  <c:v>ВШУ</c:v>
                </c:pt>
                <c:pt idx="2">
                  <c:v>СОП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4</c:v>
                </c:pt>
                <c:pt idx="1">
                  <c:v>2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2017-2018</c:v>
                </c:pt>
              </c:strCache>
            </c:strRef>
          </c:tx>
          <c:spPr>
            <a:solidFill>
              <a:srgbClr val="993366"/>
            </a:solidFill>
            <a:ln w="1268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ПДН</c:v>
                </c:pt>
                <c:pt idx="1">
                  <c:v>ВШУ</c:v>
                </c:pt>
                <c:pt idx="2">
                  <c:v>СОП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1</c:v>
                </c:pt>
                <c:pt idx="1">
                  <c:v>5</c:v>
                </c:pt>
                <c:pt idx="2">
                  <c:v>3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2018-2019</c:v>
                </c:pt>
              </c:strCache>
            </c:strRef>
          </c:tx>
          <c:spPr>
            <a:solidFill>
              <a:srgbClr val="FFFFCC"/>
            </a:solidFill>
            <a:ln w="1268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Sheet1!$B$1:$D$1</c:f>
              <c:strCache>
                <c:ptCount val="3"/>
                <c:pt idx="0">
                  <c:v>ПДН</c:v>
                </c:pt>
                <c:pt idx="1">
                  <c:v>ВШУ</c:v>
                </c:pt>
                <c:pt idx="2">
                  <c:v>СОП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5</c:v>
                </c:pt>
                <c:pt idx="1">
                  <c:v>33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85969536"/>
        <c:axId val="85971328"/>
        <c:axId val="0"/>
      </c:bar3DChart>
      <c:catAx>
        <c:axId val="8596953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8597132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85971328"/>
        <c:scaling>
          <c:orientation val="minMax"/>
        </c:scaling>
        <c:delete val="0"/>
        <c:axPos val="l"/>
        <c:majorGridlines>
          <c:spPr>
            <a:ln w="317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85969536"/>
        <c:crosses val="autoZero"/>
        <c:crossBetween val="between"/>
      </c:valAx>
      <c:spPr>
        <a:noFill/>
        <a:ln w="25379">
          <a:noFill/>
        </a:ln>
      </c:spPr>
    </c:plotArea>
    <c:legend>
      <c:legendPos val="r"/>
      <c:layout>
        <c:manualLayout>
          <c:xMode val="edge"/>
          <c:yMode val="edge"/>
          <c:x val="0.8475991649269311"/>
          <c:y val="0.31372549019607843"/>
          <c:w val="0.1440501043841336"/>
          <c:h val="0.37908496732026142"/>
        </c:manualLayout>
      </c:layout>
      <c:overlay val="0"/>
      <c:spPr>
        <a:noFill/>
        <a:ln w="3172">
          <a:solidFill>
            <a:srgbClr val="000000"/>
          </a:solidFill>
          <a:prstDash val="solid"/>
        </a:ln>
      </c:spPr>
      <c:txPr>
        <a:bodyPr/>
        <a:lstStyle/>
        <a:p>
          <a:pPr>
            <a:defRPr sz="734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5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6451612903225805E-2"/>
          <c:y val="8.6124401913875603E-2"/>
          <c:w val="0.72379032258064513"/>
          <c:h val="0.7464114832535885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ДО школа</c:v>
                </c:pt>
              </c:strCache>
            </c:strRef>
          </c:tx>
          <c:spPr>
            <a:solidFill>
              <a:srgbClr val="9999FF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Sheet1!$B$1:$L$1</c:f>
              <c:strCache>
                <c:ptCount val="11"/>
                <c:pt idx="0">
                  <c:v>1а</c:v>
                </c:pt>
                <c:pt idx="1">
                  <c:v>1б</c:v>
                </c:pt>
                <c:pt idx="2">
                  <c:v>1в</c:v>
                </c:pt>
                <c:pt idx="3">
                  <c:v>2а</c:v>
                </c:pt>
                <c:pt idx="4">
                  <c:v>2б</c:v>
                </c:pt>
                <c:pt idx="5">
                  <c:v>2в</c:v>
                </c:pt>
                <c:pt idx="6">
                  <c:v>3а</c:v>
                </c:pt>
                <c:pt idx="7">
                  <c:v>3б</c:v>
                </c:pt>
                <c:pt idx="8">
                  <c:v>3в</c:v>
                </c:pt>
                <c:pt idx="9">
                  <c:v>4а</c:v>
                </c:pt>
                <c:pt idx="10">
                  <c:v>4б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31</c:v>
                </c:pt>
                <c:pt idx="1">
                  <c:v>31</c:v>
                </c:pt>
                <c:pt idx="2">
                  <c:v>30</c:v>
                </c:pt>
                <c:pt idx="3">
                  <c:v>19</c:v>
                </c:pt>
                <c:pt idx="4">
                  <c:v>17</c:v>
                </c:pt>
                <c:pt idx="5">
                  <c:v>29</c:v>
                </c:pt>
                <c:pt idx="6">
                  <c:v>12</c:v>
                </c:pt>
                <c:pt idx="7">
                  <c:v>25</c:v>
                </c:pt>
                <c:pt idx="8">
                  <c:v>29</c:v>
                </c:pt>
                <c:pt idx="9">
                  <c:v>24</c:v>
                </c:pt>
                <c:pt idx="10">
                  <c:v>15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город</c:v>
                </c:pt>
              </c:strCache>
            </c:strRef>
          </c:tx>
          <c:spPr>
            <a:solidFill>
              <a:srgbClr val="993366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Sheet1!$B$1:$L$1</c:f>
              <c:strCache>
                <c:ptCount val="11"/>
                <c:pt idx="0">
                  <c:v>1а</c:v>
                </c:pt>
                <c:pt idx="1">
                  <c:v>1б</c:v>
                </c:pt>
                <c:pt idx="2">
                  <c:v>1в</c:v>
                </c:pt>
                <c:pt idx="3">
                  <c:v>2а</c:v>
                </c:pt>
                <c:pt idx="4">
                  <c:v>2б</c:v>
                </c:pt>
                <c:pt idx="5">
                  <c:v>2в</c:v>
                </c:pt>
                <c:pt idx="6">
                  <c:v>3а</c:v>
                </c:pt>
                <c:pt idx="7">
                  <c:v>3б</c:v>
                </c:pt>
                <c:pt idx="8">
                  <c:v>3в</c:v>
                </c:pt>
                <c:pt idx="9">
                  <c:v>4а</c:v>
                </c:pt>
                <c:pt idx="10">
                  <c:v>4б</c:v>
                </c:pt>
              </c:strCache>
            </c:strRef>
          </c:cat>
          <c:val>
            <c:numRef>
              <c:f>Sheet1!$B$3:$L$3</c:f>
              <c:numCache>
                <c:formatCode>General</c:formatCode>
                <c:ptCount val="11"/>
                <c:pt idx="0">
                  <c:v>11</c:v>
                </c:pt>
                <c:pt idx="1">
                  <c:v>3</c:v>
                </c:pt>
                <c:pt idx="2">
                  <c:v>4</c:v>
                </c:pt>
                <c:pt idx="3">
                  <c:v>5</c:v>
                </c:pt>
                <c:pt idx="4">
                  <c:v>2</c:v>
                </c:pt>
                <c:pt idx="5">
                  <c:v>14</c:v>
                </c:pt>
                <c:pt idx="6">
                  <c:v>10</c:v>
                </c:pt>
                <c:pt idx="7">
                  <c:v>6</c:v>
                </c:pt>
                <c:pt idx="8">
                  <c:v>11</c:v>
                </c:pt>
                <c:pt idx="9">
                  <c:v>12</c:v>
                </c:pt>
                <c:pt idx="10">
                  <c:v>7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 вовлечены</c:v>
                </c:pt>
              </c:strCache>
            </c:strRef>
          </c:tx>
          <c:spPr>
            <a:solidFill>
              <a:srgbClr val="FFFFCC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Sheet1!$B$1:$L$1</c:f>
              <c:strCache>
                <c:ptCount val="11"/>
                <c:pt idx="0">
                  <c:v>1а</c:v>
                </c:pt>
                <c:pt idx="1">
                  <c:v>1б</c:v>
                </c:pt>
                <c:pt idx="2">
                  <c:v>1в</c:v>
                </c:pt>
                <c:pt idx="3">
                  <c:v>2а</c:v>
                </c:pt>
                <c:pt idx="4">
                  <c:v>2б</c:v>
                </c:pt>
                <c:pt idx="5">
                  <c:v>2в</c:v>
                </c:pt>
                <c:pt idx="6">
                  <c:v>3а</c:v>
                </c:pt>
                <c:pt idx="7">
                  <c:v>3б</c:v>
                </c:pt>
                <c:pt idx="8">
                  <c:v>3в</c:v>
                </c:pt>
                <c:pt idx="9">
                  <c:v>4а</c:v>
                </c:pt>
                <c:pt idx="10">
                  <c:v>4б</c:v>
                </c:pt>
              </c:strCache>
            </c:strRef>
          </c:cat>
          <c:val>
            <c:numRef>
              <c:f>Sheet1!$B$4:$L$4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</c:v>
                </c:pt>
                <c:pt idx="4">
                  <c:v>7</c:v>
                </c:pt>
                <c:pt idx="5">
                  <c:v>0</c:v>
                </c:pt>
                <c:pt idx="6">
                  <c:v>5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94459392"/>
        <c:axId val="94460928"/>
        <c:axId val="0"/>
      </c:bar3DChart>
      <c:catAx>
        <c:axId val="944593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2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446092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94460928"/>
        <c:scaling>
          <c:orientation val="minMax"/>
        </c:scaling>
        <c:delete val="0"/>
        <c:axPos val="l"/>
        <c:majorGridlines>
          <c:spPr>
            <a:ln w="316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923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4459392"/>
        <c:crosses val="autoZero"/>
        <c:crossBetween val="between"/>
      </c:valAx>
      <c:spPr>
        <a:noFill/>
        <a:ln w="25334">
          <a:noFill/>
        </a:ln>
      </c:spPr>
    </c:plotArea>
    <c:legend>
      <c:legendPos val="r"/>
      <c:layout>
        <c:manualLayout>
          <c:xMode val="edge"/>
          <c:yMode val="edge"/>
          <c:x val="0.80241935483870963"/>
          <c:y val="0.35406698564593303"/>
          <c:w val="0.18951612903225806"/>
          <c:h val="0.291866028708134"/>
        </c:manualLayout>
      </c:layout>
      <c:overlay val="0"/>
      <c:spPr>
        <a:noFill/>
        <a:ln w="3167">
          <a:solidFill>
            <a:srgbClr val="000000"/>
          </a:solidFill>
          <a:prstDash val="solid"/>
        </a:ln>
      </c:spPr>
      <c:txPr>
        <a:bodyPr/>
        <a:lstStyle/>
        <a:p>
          <a:pPr>
            <a:defRPr sz="848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923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82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7.3349633251833746E-2"/>
          <c:y val="8.7499999999999994E-2"/>
          <c:w val="0.60880195599022002"/>
          <c:h val="0.7458333333333333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ДО школа</c:v>
                </c:pt>
              </c:strCache>
            </c:strRef>
          </c:tx>
          <c:spPr>
            <a:solidFill>
              <a:srgbClr val="9999FF"/>
            </a:solidFill>
            <a:ln w="1262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5а</c:v>
                </c:pt>
                <c:pt idx="1">
                  <c:v>5б</c:v>
                </c:pt>
                <c:pt idx="2">
                  <c:v>5в</c:v>
                </c:pt>
                <c:pt idx="3">
                  <c:v>6а</c:v>
                </c:pt>
                <c:pt idx="4">
                  <c:v>6б</c:v>
                </c:pt>
                <c:pt idx="5">
                  <c:v>7а</c:v>
                </c:pt>
                <c:pt idx="6">
                  <c:v>7б</c:v>
                </c:pt>
                <c:pt idx="7">
                  <c:v>7в</c:v>
                </c:pt>
                <c:pt idx="8">
                  <c:v>8а</c:v>
                </c:pt>
                <c:pt idx="9">
                  <c:v>8б</c:v>
                </c:pt>
              </c:strCache>
            </c:strRef>
          </c:cat>
          <c:val>
            <c:numRef>
              <c:f>Sheet1!$B$2:$K$2</c:f>
              <c:numCache>
                <c:formatCode>General</c:formatCode>
                <c:ptCount val="10"/>
                <c:pt idx="0">
                  <c:v>20</c:v>
                </c:pt>
                <c:pt idx="1">
                  <c:v>15</c:v>
                </c:pt>
                <c:pt idx="2">
                  <c:v>5</c:v>
                </c:pt>
                <c:pt idx="3">
                  <c:v>19</c:v>
                </c:pt>
                <c:pt idx="4">
                  <c:v>7</c:v>
                </c:pt>
                <c:pt idx="5">
                  <c:v>4</c:v>
                </c:pt>
                <c:pt idx="6">
                  <c:v>13</c:v>
                </c:pt>
                <c:pt idx="7">
                  <c:v>1</c:v>
                </c:pt>
                <c:pt idx="8">
                  <c:v>2</c:v>
                </c:pt>
                <c:pt idx="9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город </c:v>
                </c:pt>
              </c:strCache>
            </c:strRef>
          </c:tx>
          <c:spPr>
            <a:solidFill>
              <a:srgbClr val="993366"/>
            </a:solidFill>
            <a:ln w="1262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5а</c:v>
                </c:pt>
                <c:pt idx="1">
                  <c:v>5б</c:v>
                </c:pt>
                <c:pt idx="2">
                  <c:v>5в</c:v>
                </c:pt>
                <c:pt idx="3">
                  <c:v>6а</c:v>
                </c:pt>
                <c:pt idx="4">
                  <c:v>6б</c:v>
                </c:pt>
                <c:pt idx="5">
                  <c:v>7а</c:v>
                </c:pt>
                <c:pt idx="6">
                  <c:v>7б</c:v>
                </c:pt>
                <c:pt idx="7">
                  <c:v>7в</c:v>
                </c:pt>
                <c:pt idx="8">
                  <c:v>8а</c:v>
                </c:pt>
                <c:pt idx="9">
                  <c:v>8б</c:v>
                </c:pt>
              </c:strCache>
            </c:strRef>
          </c:cat>
          <c:val>
            <c:numRef>
              <c:f>Sheet1!$B$3:$K$3</c:f>
              <c:numCache>
                <c:formatCode>General</c:formatCode>
                <c:ptCount val="10"/>
                <c:pt idx="0">
                  <c:v>8</c:v>
                </c:pt>
                <c:pt idx="1">
                  <c:v>3</c:v>
                </c:pt>
                <c:pt idx="2">
                  <c:v>8</c:v>
                </c:pt>
                <c:pt idx="3">
                  <c:v>11</c:v>
                </c:pt>
                <c:pt idx="4">
                  <c:v>8</c:v>
                </c:pt>
                <c:pt idx="5">
                  <c:v>0</c:v>
                </c:pt>
                <c:pt idx="6">
                  <c:v>3</c:v>
                </c:pt>
                <c:pt idx="7">
                  <c:v>8</c:v>
                </c:pt>
                <c:pt idx="8">
                  <c:v>10</c:v>
                </c:pt>
                <c:pt idx="9">
                  <c:v>11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 охваченные</c:v>
                </c:pt>
              </c:strCache>
            </c:strRef>
          </c:tx>
          <c:spPr>
            <a:solidFill>
              <a:srgbClr val="FFFFCC"/>
            </a:solidFill>
            <a:ln w="1262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Sheet1!$B$1:$K$1</c:f>
              <c:strCache>
                <c:ptCount val="10"/>
                <c:pt idx="0">
                  <c:v>5а</c:v>
                </c:pt>
                <c:pt idx="1">
                  <c:v>5б</c:v>
                </c:pt>
                <c:pt idx="2">
                  <c:v>5в</c:v>
                </c:pt>
                <c:pt idx="3">
                  <c:v>6а</c:v>
                </c:pt>
                <c:pt idx="4">
                  <c:v>6б</c:v>
                </c:pt>
                <c:pt idx="5">
                  <c:v>7а</c:v>
                </c:pt>
                <c:pt idx="6">
                  <c:v>7б</c:v>
                </c:pt>
                <c:pt idx="7">
                  <c:v>7в</c:v>
                </c:pt>
                <c:pt idx="8">
                  <c:v>8а</c:v>
                </c:pt>
                <c:pt idx="9">
                  <c:v>8б</c:v>
                </c:pt>
              </c:strCache>
            </c:strRef>
          </c:cat>
          <c:val>
            <c:numRef>
              <c:f>Sheet1!$B$4:$K$4</c:f>
              <c:numCache>
                <c:formatCode>General</c:formatCode>
                <c:ptCount val="10"/>
                <c:pt idx="0">
                  <c:v>0</c:v>
                </c:pt>
                <c:pt idx="1">
                  <c:v>5</c:v>
                </c:pt>
                <c:pt idx="2">
                  <c:v>12</c:v>
                </c:pt>
                <c:pt idx="3">
                  <c:v>0</c:v>
                </c:pt>
                <c:pt idx="4">
                  <c:v>11</c:v>
                </c:pt>
                <c:pt idx="5">
                  <c:v>18</c:v>
                </c:pt>
                <c:pt idx="6">
                  <c:v>6</c:v>
                </c:pt>
                <c:pt idx="7">
                  <c:v>10</c:v>
                </c:pt>
                <c:pt idx="8">
                  <c:v>11</c:v>
                </c:pt>
                <c:pt idx="9">
                  <c:v>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94491392"/>
        <c:axId val="94492928"/>
        <c:axId val="0"/>
      </c:bar3DChart>
      <c:catAx>
        <c:axId val="9449139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4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449292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94492928"/>
        <c:scaling>
          <c:orientation val="minMax"/>
        </c:scaling>
        <c:delete val="0"/>
        <c:axPos val="l"/>
        <c:majorGridlines>
          <c:spPr>
            <a:ln w="315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4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4491392"/>
        <c:crosses val="autoZero"/>
        <c:crossBetween val="between"/>
      </c:valAx>
      <c:spPr>
        <a:noFill/>
        <a:ln w="25257">
          <a:noFill/>
        </a:ln>
      </c:spPr>
    </c:plotArea>
    <c:legend>
      <c:legendPos val="r"/>
      <c:layout>
        <c:manualLayout>
          <c:xMode val="edge"/>
          <c:yMode val="edge"/>
          <c:x val="0.70904645476772621"/>
          <c:y val="0.36249999999999999"/>
          <c:w val="0.28117359413202936"/>
          <c:h val="0.27916666666666667"/>
        </c:manualLayout>
      </c:layout>
      <c:overlay val="0"/>
      <c:spPr>
        <a:noFill/>
        <a:ln w="3157">
          <a:solidFill>
            <a:srgbClr val="000000"/>
          </a:solidFill>
          <a:prstDash val="solid"/>
        </a:ln>
      </c:spPr>
      <c:txPr>
        <a:bodyPr/>
        <a:lstStyle/>
        <a:p>
          <a:pPr>
            <a:defRPr sz="960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44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10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4985835694050993E-2"/>
          <c:y val="8.6206896551724144E-2"/>
          <c:w val="0.54674220963172804"/>
          <c:h val="0.74137931034482762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ДО школа</c:v>
                </c:pt>
              </c:strCache>
            </c:strRef>
          </c:tx>
          <c:spPr>
            <a:solidFill>
              <a:srgbClr val="9999FF"/>
            </a:solidFill>
            <a:ln w="1263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5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  <c:pt idx="3">
                  <c:v>10</c:v>
                </c:pt>
                <c:pt idx="4">
                  <c:v>11</c:v>
                </c:pt>
              </c:strCache>
            </c:strRef>
          </c:cat>
          <c:val>
            <c:numRef>
              <c:f>Sheet1!$B$2:$F$2</c:f>
              <c:numCache>
                <c:formatCode>General</c:formatCode>
                <c:ptCount val="5"/>
                <c:pt idx="0">
                  <c:v>25</c:v>
                </c:pt>
                <c:pt idx="1">
                  <c:v>18</c:v>
                </c:pt>
                <c:pt idx="2">
                  <c:v>1</c:v>
                </c:pt>
                <c:pt idx="3">
                  <c:v>20</c:v>
                </c:pt>
                <c:pt idx="4">
                  <c:v>22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ДО город</c:v>
                </c:pt>
              </c:strCache>
            </c:strRef>
          </c:tx>
          <c:spPr>
            <a:solidFill>
              <a:srgbClr val="993366"/>
            </a:solidFill>
            <a:ln w="1263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5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  <c:pt idx="3">
                  <c:v>10</c:v>
                </c:pt>
                <c:pt idx="4">
                  <c:v>11</c:v>
                </c:pt>
              </c:strCache>
            </c:strRef>
          </c:cat>
          <c:val>
            <c:numRef>
              <c:f>Sheet1!$B$3:$F$3</c:f>
              <c:numCache>
                <c:formatCode>General</c:formatCode>
                <c:ptCount val="5"/>
                <c:pt idx="0">
                  <c:v>9</c:v>
                </c:pt>
                <c:pt idx="1">
                  <c:v>0</c:v>
                </c:pt>
                <c:pt idx="2">
                  <c:v>7</c:v>
                </c:pt>
                <c:pt idx="3">
                  <c:v>0</c:v>
                </c:pt>
                <c:pt idx="4">
                  <c:v>8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не охваченные</c:v>
                </c:pt>
              </c:strCache>
            </c:strRef>
          </c:tx>
          <c:spPr>
            <a:solidFill>
              <a:srgbClr val="FFFFCC"/>
            </a:solidFill>
            <a:ln w="1263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Sheet1!$B$1:$F$1</c:f>
              <c:strCache>
                <c:ptCount val="5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  <c:pt idx="3">
                  <c:v>10</c:v>
                </c:pt>
                <c:pt idx="4">
                  <c:v>11</c:v>
                </c:pt>
              </c:strCache>
            </c:strRef>
          </c:cat>
          <c:val>
            <c:numRef>
              <c:f>Sheet1!$B$4:$F$4</c:f>
              <c:numCache>
                <c:formatCode>General</c:formatCode>
                <c:ptCount val="5"/>
                <c:pt idx="0">
                  <c:v>0</c:v>
                </c:pt>
                <c:pt idx="1">
                  <c:v>6</c:v>
                </c:pt>
                <c:pt idx="2">
                  <c:v>13</c:v>
                </c:pt>
                <c:pt idx="3">
                  <c:v>0</c:v>
                </c:pt>
                <c:pt idx="4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94699520"/>
        <c:axId val="94701056"/>
        <c:axId val="0"/>
      </c:bar3DChart>
      <c:catAx>
        <c:axId val="9469952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470105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94701056"/>
        <c:scaling>
          <c:orientation val="minMax"/>
        </c:scaling>
        <c:delete val="0"/>
        <c:axPos val="l"/>
        <c:majorGridlines>
          <c:spPr>
            <a:ln w="315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02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4699520"/>
        <c:crosses val="autoZero"/>
        <c:crossBetween val="between"/>
      </c:valAx>
      <c:spPr>
        <a:noFill/>
        <a:ln w="25264">
          <a:noFill/>
        </a:ln>
      </c:spPr>
    </c:plotArea>
    <c:legend>
      <c:legendPos val="r"/>
      <c:layout>
        <c:manualLayout>
          <c:xMode val="edge"/>
          <c:yMode val="edge"/>
          <c:x val="0.66288951841359778"/>
          <c:y val="0.35775862068965519"/>
          <c:w val="0.32577903682719545"/>
          <c:h val="0.28879310344827586"/>
        </c:manualLayout>
      </c:layout>
      <c:overlay val="0"/>
      <c:spPr>
        <a:noFill/>
        <a:ln w="3158">
          <a:solidFill>
            <a:srgbClr val="000000"/>
          </a:solidFill>
          <a:prstDash val="solid"/>
        </a:ln>
      </c:spPr>
      <c:txPr>
        <a:bodyPr/>
        <a:lstStyle/>
        <a:p>
          <a:pPr>
            <a:defRPr sz="9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02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C4FB73-60AD-4FB5-B881-1D09193A1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8792</Words>
  <Characters>50118</Characters>
  <Application>Microsoft Office Word</Application>
  <DocSecurity>0</DocSecurity>
  <Lines>417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 кабинет</dc:creator>
  <cp:keywords/>
  <dc:description/>
  <cp:lastModifiedBy>Метод кабинет</cp:lastModifiedBy>
  <cp:revision>7</cp:revision>
  <dcterms:created xsi:type="dcterms:W3CDTF">2020-01-28T08:13:00Z</dcterms:created>
  <dcterms:modified xsi:type="dcterms:W3CDTF">2020-02-01T08:52:00Z</dcterms:modified>
</cp:coreProperties>
</file>